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E2591" w14:textId="192202C7" w:rsidR="00806857" w:rsidRDefault="001B63FF" w:rsidP="00806857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304241D1" wp14:editId="77589A0B">
            <wp:extent cx="6188710" cy="1878965"/>
            <wp:effectExtent l="0" t="0" r="254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AB43" w14:textId="41C3F029" w:rsidR="00F616B9" w:rsidRDefault="00F616B9" w:rsidP="005C7D85">
      <w:pPr>
        <w:ind w:left="142"/>
      </w:pPr>
    </w:p>
    <w:p w14:paraId="259E2DAA" w14:textId="50C841AF" w:rsidR="00AB57B2" w:rsidRPr="00AB57B2" w:rsidRDefault="002C1BBB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345E" wp14:editId="4BA47108">
                <wp:simplePos x="0" y="0"/>
                <wp:positionH relativeFrom="column">
                  <wp:posOffset>61100</wp:posOffset>
                </wp:positionH>
                <wp:positionV relativeFrom="paragraph">
                  <wp:posOffset>989868</wp:posOffset>
                </wp:positionV>
                <wp:extent cx="473652" cy="4391187"/>
                <wp:effectExtent l="0" t="0" r="317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52" cy="4391187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6DA5" w14:textId="77777777" w:rsidR="00834A79" w:rsidRPr="008361EB" w:rsidRDefault="00834A79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28345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.8pt;margin-top:77.95pt;width:37.3pt;height:3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06186DA5" w14:textId="77777777" w:rsidR="00834A79" w:rsidRPr="008361EB" w:rsidRDefault="00834A79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BEF37" wp14:editId="2D8CA89F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E4A7" w14:textId="77777777" w:rsidR="00834A79" w:rsidRDefault="00834A79" w:rsidP="00F616B9">
                            <w:pPr>
                              <w:ind w:left="851"/>
                              <w:jc w:val="both"/>
                            </w:pPr>
                          </w:p>
                          <w:p w14:paraId="5148B6AE" w14:textId="5D2FA0E2" w:rsidR="00834A79" w:rsidRPr="00AA164D" w:rsidRDefault="002C1BBB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Bretagne, </w:t>
                            </w:r>
                            <w:r w:rsidR="00E26445">
                              <w:t>la consommation</w:t>
                            </w:r>
                            <w:r w:rsidR="00834A79">
                              <w:t xml:space="preserve"> de tabac </w:t>
                            </w:r>
                            <w:r>
                              <w:t xml:space="preserve">des adultes </w:t>
                            </w:r>
                            <w:r w:rsidR="00834A79">
                              <w:t>ne diffère pas de la moyenne nationale</w:t>
                            </w:r>
                            <w:r>
                              <w:t>.</w:t>
                            </w:r>
                            <w:r w:rsidR="00834A79" w:rsidRPr="00AA164D">
                              <w:t xml:space="preserve"> </w:t>
                            </w:r>
                            <w:r>
                              <w:t xml:space="preserve">En revanche, </w:t>
                            </w:r>
                            <w:r w:rsidR="00834A79">
                              <w:t xml:space="preserve">les jeunes </w:t>
                            </w:r>
                            <w:r>
                              <w:t>de 17 ans</w:t>
                            </w:r>
                            <w:r w:rsidR="00834A79">
                              <w:t xml:space="preserve"> présentent des niveaux</w:t>
                            </w:r>
                            <w:r w:rsidR="00E26445">
                              <w:t xml:space="preserve"> d’usage</w:t>
                            </w:r>
                            <w:r w:rsidR="00834A79">
                              <w:t xml:space="preserve"> supérieurs, avec une expérimentation de 67 % (</w:t>
                            </w:r>
                            <w:r w:rsidR="00834A79" w:rsidRPr="00131401">
                              <w:rPr>
                                <w:i/>
                              </w:rPr>
                              <w:t>vs</w:t>
                            </w:r>
                            <w:r w:rsidR="00834A79">
                              <w:t xml:space="preserve"> 59 %) et un usage quotidien de 30 % (</w:t>
                            </w:r>
                            <w:r w:rsidR="00834A79" w:rsidRPr="00131401">
                              <w:rPr>
                                <w:i/>
                              </w:rPr>
                              <w:t>vs</w:t>
                            </w:r>
                            <w:r w:rsidR="00834A79">
                              <w:t xml:space="preserve"> 25</w:t>
                            </w:r>
                            <w:r>
                              <w:t> %</w:t>
                            </w:r>
                            <w:r w:rsidR="00834A79">
                              <w:t>)</w:t>
                            </w:r>
                            <w:r w:rsidR="00834A79" w:rsidRPr="00AA164D">
                              <w:t xml:space="preserve">. </w:t>
                            </w:r>
                            <w:r w:rsidR="00834A79">
                              <w:t>L</w:t>
                            </w:r>
                            <w:r w:rsidR="00834A79" w:rsidRPr="00AA164D">
                              <w:t xml:space="preserve">a mortalité liée aux cancers des voies pulmonaires </w:t>
                            </w:r>
                            <w:r w:rsidR="00834A79">
                              <w:t>demeure légèrement supérieure au niveau national.</w:t>
                            </w:r>
                          </w:p>
                          <w:p w14:paraId="6D950D25" w14:textId="1E25B232" w:rsidR="00834A79" w:rsidRDefault="00834A79" w:rsidP="0089131B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adultes et jeunes Bretons </w:t>
                            </w:r>
                            <w:r w:rsidR="00BB0E10">
                              <w:t xml:space="preserve">ont </w:t>
                            </w:r>
                            <w:r>
                              <w:t xml:space="preserve">des </w:t>
                            </w:r>
                            <w:r w:rsidR="002C1BBB">
                              <w:t>niveaux d’</w:t>
                            </w:r>
                            <w:r>
                              <w:t xml:space="preserve">expérimentation et </w:t>
                            </w:r>
                            <w:r w:rsidR="002C1BBB">
                              <w:t>d’</w:t>
                            </w:r>
                            <w:r>
                              <w:t>usage</w:t>
                            </w:r>
                            <w:r w:rsidR="002C1BBB">
                              <w:t xml:space="preserve"> occasionnels</w:t>
                            </w:r>
                            <w:r>
                              <w:t xml:space="preserve"> plus élevés</w:t>
                            </w:r>
                            <w:r w:rsidR="002C1BBB">
                              <w:t xml:space="preserve"> que dans le reste de l’Hexagone. En particulier, la part des jeunes de 17 ans n’ayant jamais bu d’alcool est de 6 % en Bretagne contre 14 % dans l’ensemble du pays. Pour autant, la part des adultes buvant quotidiennement</w:t>
                            </w:r>
                            <w:r>
                              <w:t xml:space="preserve"> </w:t>
                            </w:r>
                            <w:r w:rsidR="0089131B">
                              <w:t>ne se distingue pas des autres régions. Il n’en reste pas moins que</w:t>
                            </w:r>
                            <w:r>
                              <w:t xml:space="preserve"> l’ensemble des indicateurs d’accidents et de mortalité liés à l’alcool ainsi que les interpellations pour ivresses sont </w:t>
                            </w:r>
                            <w:proofErr w:type="gramStart"/>
                            <w:r>
                              <w:t>supérieurs</w:t>
                            </w:r>
                            <w:proofErr w:type="gramEnd"/>
                            <w:r>
                              <w:t xml:space="preserve"> à la moyenne nationale.</w:t>
                            </w:r>
                          </w:p>
                          <w:p w14:paraId="0A263FC7" w14:textId="120FA10D" w:rsidR="00834A79" w:rsidRDefault="00E26445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>L</w:t>
                            </w:r>
                            <w:r w:rsidR="00834A79">
                              <w:t xml:space="preserve">’expérimentation du cannabis parmi l’ensemble </w:t>
                            </w:r>
                            <w:r w:rsidR="0089131B">
                              <w:t>des adultes en Bretagne</w:t>
                            </w:r>
                            <w:r w:rsidR="00834A79">
                              <w:t xml:space="preserve"> s’avère plus élevé</w:t>
                            </w:r>
                            <w:r>
                              <w:t>e</w:t>
                            </w:r>
                            <w:r w:rsidR="00834A79">
                              <w:t xml:space="preserve"> (49 % </w:t>
                            </w:r>
                            <w:r w:rsidR="00834A79" w:rsidRPr="00131401">
                              <w:rPr>
                                <w:i/>
                              </w:rPr>
                              <w:t>vs</w:t>
                            </w:r>
                            <w:r w:rsidR="00834A79">
                              <w:t xml:space="preserve"> </w:t>
                            </w:r>
                            <w:r w:rsidR="00131401">
                              <w:t>45</w:t>
                            </w:r>
                            <w:r w:rsidR="00834A79">
                              <w:t> %). Il en</w:t>
                            </w:r>
                            <w:r>
                              <w:t xml:space="preserve"> va de même pour les jeunes</w:t>
                            </w:r>
                            <w:r w:rsidR="00834A79">
                              <w:t xml:space="preserve"> de 17 ans</w:t>
                            </w:r>
                            <w:r>
                              <w:t xml:space="preserve"> (45 % </w:t>
                            </w:r>
                            <w:r w:rsidRPr="00131401">
                              <w:rPr>
                                <w:i/>
                              </w:rPr>
                              <w:t>vs</w:t>
                            </w:r>
                            <w:r>
                              <w:t xml:space="preserve"> 39, %)</w:t>
                            </w:r>
                            <w:r w:rsidR="00834A79">
                              <w:t xml:space="preserve">, qui présentent aussi des usages dans </w:t>
                            </w:r>
                            <w:proofErr w:type="gramStart"/>
                            <w:r w:rsidR="00834A79">
                              <w:t>le mois supérieurs</w:t>
                            </w:r>
                            <w:proofErr w:type="gramEnd"/>
                            <w:r w:rsidR="00834A79">
                              <w:t xml:space="preserve"> à la moyenne nationale (25 % </w:t>
                            </w:r>
                            <w:r w:rsidR="00834A79" w:rsidRPr="00131401">
                              <w:rPr>
                                <w:i/>
                              </w:rPr>
                              <w:t xml:space="preserve">vs </w:t>
                            </w:r>
                            <w:r w:rsidR="00834A79">
                              <w:t xml:space="preserve">21 %). Cette surconsommation ne se reflète cependant pas au niveau des interpellations </w:t>
                            </w:r>
                            <w:r w:rsidR="00834A79"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 w:rsidR="00834A79">
                              <w:rPr>
                                <w:spacing w:val="-3"/>
                              </w:rPr>
                              <w:t xml:space="preserve">ation sur les stupéfiants (ILS), concernant principalement le cannabis, lesquelles </w:t>
                            </w:r>
                            <w:r w:rsidR="00BB0E10">
                              <w:rPr>
                                <w:spacing w:val="-3"/>
                              </w:rPr>
                              <w:t>se situent à</w:t>
                            </w:r>
                            <w:r w:rsidR="00BB0E10" w:rsidRPr="00EA0CB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834A79" w:rsidRPr="00EA0CBA">
                              <w:rPr>
                                <w:spacing w:val="-3"/>
                              </w:rPr>
                              <w:t xml:space="preserve">un niveau </w:t>
                            </w:r>
                            <w:r w:rsidR="00834A79">
                              <w:rPr>
                                <w:spacing w:val="-3"/>
                              </w:rPr>
                              <w:t xml:space="preserve">inférieur à celui de la France </w:t>
                            </w:r>
                            <w:r w:rsidR="00834A79" w:rsidRPr="00EA0CBA">
                              <w:rPr>
                                <w:spacing w:val="-3"/>
                              </w:rPr>
                              <w:t>entière</w:t>
                            </w:r>
                            <w:r w:rsidR="00834A79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7869682B" w14:textId="79F29711" w:rsidR="00834A79" w:rsidRDefault="00834A7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les adultes de la région Bretagne </w:t>
                            </w:r>
                            <w:r w:rsidR="00FE3AF6">
                              <w:t xml:space="preserve">présentent des niveaux d’expérimentation </w:t>
                            </w:r>
                            <w:r w:rsidR="0089131B">
                              <w:t xml:space="preserve">de </w:t>
                            </w:r>
                            <w:proofErr w:type="spellStart"/>
                            <w:r w:rsidR="00FE3AF6">
                              <w:t>poppers</w:t>
                            </w:r>
                            <w:proofErr w:type="spellEnd"/>
                            <w:r w:rsidR="00FE3AF6">
                              <w:t>, ecstasy/MDMA</w:t>
                            </w:r>
                            <w:r w:rsidR="0089131B">
                              <w:t xml:space="preserve"> et</w:t>
                            </w:r>
                            <w:r w:rsidR="00FE3AF6">
                              <w:t xml:space="preserve"> crack</w:t>
                            </w:r>
                            <w:r w:rsidR="0089131B">
                              <w:t xml:space="preserve"> plus élevés que dans les autres régions</w:t>
                            </w:r>
                            <w:r w:rsidR="00FE3AF6">
                              <w:t xml:space="preserve">. Cette tendance </w:t>
                            </w:r>
                            <w:r w:rsidR="0089131B">
                              <w:t>concerne davantage de produits</w:t>
                            </w:r>
                            <w:r w:rsidR="00FE3AF6">
                              <w:t xml:space="preserve"> parmi les jeunes de 17 ans</w:t>
                            </w:r>
                            <w:r>
                              <w:t xml:space="preserve">, </w:t>
                            </w:r>
                            <w:r w:rsidR="0089131B">
                              <w:t>p</w:t>
                            </w:r>
                            <w:r w:rsidR="00FE3AF6">
                              <w:t>lus particulièrement les stimulants (cocaïne, MDMA, amphétamines)</w:t>
                            </w:r>
                            <w:r>
                              <w:t xml:space="preserve">. </w:t>
                            </w:r>
                            <w:r w:rsidR="00FE3AF6">
                              <w:t>Cette surconsommation n’entraîne cependant pas de</w:t>
                            </w:r>
                            <w:r>
                              <w:rPr>
                                <w:spacing w:val="-3"/>
                              </w:rPr>
                              <w:t xml:space="preserve">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AC622A" w:rsidRPr="00AC622A">
                              <w:rPr>
                                <w:spacing w:val="-3"/>
                              </w:rPr>
                              <w:t>due aux accidents de la route ou aux surdoses liés aux drogues illicites</w:t>
                            </w:r>
                            <w:r w:rsidR="00AC622A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7ECE2045" w14:textId="77777777" w:rsidR="00834A79" w:rsidRDefault="00834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4BEF37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m/AEAANUDAAAOAAAAZHJzL2Uyb0RvYy54bWysU11v2yAUfZ+0/4B4X+ykcZZ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" filled="f" stroked="f">
                <v:textbox>
                  <w:txbxContent>
                    <w:p w14:paraId="3458E4A7" w14:textId="77777777" w:rsidR="00834A79" w:rsidRDefault="00834A79" w:rsidP="00F616B9">
                      <w:pPr>
                        <w:ind w:left="851"/>
                        <w:jc w:val="both"/>
                      </w:pPr>
                    </w:p>
                    <w:p w14:paraId="5148B6AE" w14:textId="5D2FA0E2" w:rsidR="00834A79" w:rsidRPr="00AA164D" w:rsidRDefault="002C1BBB" w:rsidP="00F616B9">
                      <w:pPr>
                        <w:ind w:left="851"/>
                        <w:jc w:val="both"/>
                      </w:pPr>
                      <w:r>
                        <w:t xml:space="preserve">En Bretagne, </w:t>
                      </w:r>
                      <w:r w:rsidR="00E26445">
                        <w:t>la consommation</w:t>
                      </w:r>
                      <w:r w:rsidR="00834A79">
                        <w:t xml:space="preserve"> de tabac </w:t>
                      </w:r>
                      <w:r>
                        <w:t xml:space="preserve">des adultes </w:t>
                      </w:r>
                      <w:r w:rsidR="00834A79">
                        <w:t>ne diffère pas de la moyenne nationale</w:t>
                      </w:r>
                      <w:r>
                        <w:t>.</w:t>
                      </w:r>
                      <w:r w:rsidR="00834A79" w:rsidRPr="00AA164D">
                        <w:t xml:space="preserve"> </w:t>
                      </w:r>
                      <w:r>
                        <w:t xml:space="preserve">En revanche, </w:t>
                      </w:r>
                      <w:r w:rsidR="00834A79">
                        <w:t xml:space="preserve">les jeunes </w:t>
                      </w:r>
                      <w:r>
                        <w:t>de 17 ans</w:t>
                      </w:r>
                      <w:r w:rsidR="00834A79">
                        <w:t xml:space="preserve"> présentent des niveaux</w:t>
                      </w:r>
                      <w:r w:rsidR="00E26445">
                        <w:t xml:space="preserve"> d’usage</w:t>
                      </w:r>
                      <w:r w:rsidR="00834A79">
                        <w:t xml:space="preserve"> supérieurs, avec une expérimentation de 67 % (</w:t>
                      </w:r>
                      <w:r w:rsidR="00834A79" w:rsidRPr="00131401">
                        <w:rPr>
                          <w:i/>
                        </w:rPr>
                        <w:t>vs</w:t>
                      </w:r>
                      <w:r w:rsidR="00834A79">
                        <w:t xml:space="preserve"> 59 %) et un usage quotidien de 30 % (</w:t>
                      </w:r>
                      <w:r w:rsidR="00834A79" w:rsidRPr="00131401">
                        <w:rPr>
                          <w:i/>
                        </w:rPr>
                        <w:t>vs</w:t>
                      </w:r>
                      <w:r w:rsidR="00834A79">
                        <w:t xml:space="preserve"> 25</w:t>
                      </w:r>
                      <w:r>
                        <w:t> %</w:t>
                      </w:r>
                      <w:r w:rsidR="00834A79">
                        <w:t>)</w:t>
                      </w:r>
                      <w:r w:rsidR="00834A79" w:rsidRPr="00AA164D">
                        <w:t xml:space="preserve">. </w:t>
                      </w:r>
                      <w:r w:rsidR="00834A79">
                        <w:t>L</w:t>
                      </w:r>
                      <w:r w:rsidR="00834A79" w:rsidRPr="00AA164D">
                        <w:t xml:space="preserve">a mortalité liée aux cancers des voies pulmonaires </w:t>
                      </w:r>
                      <w:r w:rsidR="00834A79">
                        <w:t>demeure légèrement supérieure au niveau national.</w:t>
                      </w:r>
                    </w:p>
                    <w:p w14:paraId="6D950D25" w14:textId="1E25B232" w:rsidR="00834A79" w:rsidRDefault="00834A79" w:rsidP="0089131B">
                      <w:pPr>
                        <w:ind w:left="851"/>
                        <w:jc w:val="both"/>
                      </w:pPr>
                      <w:r>
                        <w:t xml:space="preserve">S’agissant de l’alcool, adultes et jeunes Bretons </w:t>
                      </w:r>
                      <w:r w:rsidR="00BB0E10">
                        <w:t xml:space="preserve">ont </w:t>
                      </w:r>
                      <w:r>
                        <w:t xml:space="preserve">des </w:t>
                      </w:r>
                      <w:r w:rsidR="002C1BBB">
                        <w:t>niveaux d’</w:t>
                      </w:r>
                      <w:r>
                        <w:t xml:space="preserve">expérimentation et </w:t>
                      </w:r>
                      <w:r w:rsidR="002C1BBB">
                        <w:t>d’</w:t>
                      </w:r>
                      <w:r>
                        <w:t>usage</w:t>
                      </w:r>
                      <w:r w:rsidR="002C1BBB">
                        <w:t xml:space="preserve"> occasionnels</w:t>
                      </w:r>
                      <w:r>
                        <w:t xml:space="preserve"> plus élevés</w:t>
                      </w:r>
                      <w:r w:rsidR="002C1BBB">
                        <w:t xml:space="preserve"> que dans le reste de l’Hexagone. En particulier, la part des jeunes de 17 ans n’ayant jamais bu d’alcool est de 6 % en Bretagne contre 14 % dans l’ensemble du pays. Pour autant, la part des adultes buvant quotidiennement</w:t>
                      </w:r>
                      <w:r>
                        <w:t xml:space="preserve"> </w:t>
                      </w:r>
                      <w:r w:rsidR="0089131B">
                        <w:t>ne se distingue pas des autres régions. Il n’en reste pas moins que</w:t>
                      </w:r>
                      <w:r>
                        <w:t xml:space="preserve"> l’ensemble des indicateurs d’accidents et de mortalité liés à l’alcool ainsi que les interpellations pour ivresses sont </w:t>
                      </w:r>
                      <w:proofErr w:type="gramStart"/>
                      <w:r>
                        <w:t>supérieurs</w:t>
                      </w:r>
                      <w:proofErr w:type="gramEnd"/>
                      <w:r>
                        <w:t xml:space="preserve"> à la moyenne nationale.</w:t>
                      </w:r>
                    </w:p>
                    <w:p w14:paraId="0A263FC7" w14:textId="120FA10D" w:rsidR="00834A79" w:rsidRDefault="00E26445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>L</w:t>
                      </w:r>
                      <w:r w:rsidR="00834A79">
                        <w:t xml:space="preserve">’expérimentation du cannabis parmi l’ensemble </w:t>
                      </w:r>
                      <w:r w:rsidR="0089131B">
                        <w:t>des adultes en Bretagne</w:t>
                      </w:r>
                      <w:r w:rsidR="00834A79">
                        <w:t xml:space="preserve"> s’avère plus élevé</w:t>
                      </w:r>
                      <w:r>
                        <w:t>e</w:t>
                      </w:r>
                      <w:r w:rsidR="00834A79">
                        <w:t xml:space="preserve"> (49 % </w:t>
                      </w:r>
                      <w:r w:rsidR="00834A79" w:rsidRPr="00131401">
                        <w:rPr>
                          <w:i/>
                        </w:rPr>
                        <w:t>vs</w:t>
                      </w:r>
                      <w:r w:rsidR="00834A79">
                        <w:t xml:space="preserve"> </w:t>
                      </w:r>
                      <w:r w:rsidR="00131401">
                        <w:t>45</w:t>
                      </w:r>
                      <w:r w:rsidR="00834A79">
                        <w:t> %). Il en</w:t>
                      </w:r>
                      <w:r>
                        <w:t xml:space="preserve"> va de même pour les jeunes</w:t>
                      </w:r>
                      <w:r w:rsidR="00834A79">
                        <w:t xml:space="preserve"> de 17 ans</w:t>
                      </w:r>
                      <w:r>
                        <w:t xml:space="preserve"> (45 % </w:t>
                      </w:r>
                      <w:r w:rsidRPr="00131401">
                        <w:rPr>
                          <w:i/>
                        </w:rPr>
                        <w:t>vs</w:t>
                      </w:r>
                      <w:r>
                        <w:t xml:space="preserve"> 39, %)</w:t>
                      </w:r>
                      <w:r w:rsidR="00834A79">
                        <w:t xml:space="preserve">, qui présentent aussi des usages dans </w:t>
                      </w:r>
                      <w:proofErr w:type="gramStart"/>
                      <w:r w:rsidR="00834A79">
                        <w:t>le mois supérieurs</w:t>
                      </w:r>
                      <w:proofErr w:type="gramEnd"/>
                      <w:r w:rsidR="00834A79">
                        <w:t xml:space="preserve"> à la moyenne nationale (25 % </w:t>
                      </w:r>
                      <w:r w:rsidR="00834A79" w:rsidRPr="00131401">
                        <w:rPr>
                          <w:i/>
                        </w:rPr>
                        <w:t xml:space="preserve">vs </w:t>
                      </w:r>
                      <w:r w:rsidR="00834A79">
                        <w:t xml:space="preserve">21 %). Cette surconsommation ne se reflète cependant pas au niveau des interpellations </w:t>
                      </w:r>
                      <w:r w:rsidR="00834A79" w:rsidRPr="00EA0CBA">
                        <w:rPr>
                          <w:spacing w:val="-3"/>
                        </w:rPr>
                        <w:t>pour infractions à la législ</w:t>
                      </w:r>
                      <w:r w:rsidR="00834A79">
                        <w:rPr>
                          <w:spacing w:val="-3"/>
                        </w:rPr>
                        <w:t xml:space="preserve">ation sur les stupéfiants (ILS), concernant principalement le cannabis, lesquelles </w:t>
                      </w:r>
                      <w:r w:rsidR="00BB0E10">
                        <w:rPr>
                          <w:spacing w:val="-3"/>
                        </w:rPr>
                        <w:t>se situent à</w:t>
                      </w:r>
                      <w:r w:rsidR="00BB0E10" w:rsidRPr="00EA0CBA">
                        <w:rPr>
                          <w:spacing w:val="-3"/>
                        </w:rPr>
                        <w:t xml:space="preserve"> </w:t>
                      </w:r>
                      <w:r w:rsidR="00834A79" w:rsidRPr="00EA0CBA">
                        <w:rPr>
                          <w:spacing w:val="-3"/>
                        </w:rPr>
                        <w:t xml:space="preserve">un niveau </w:t>
                      </w:r>
                      <w:r w:rsidR="00834A79">
                        <w:rPr>
                          <w:spacing w:val="-3"/>
                        </w:rPr>
                        <w:t xml:space="preserve">inférieur à celui de la France </w:t>
                      </w:r>
                      <w:r w:rsidR="00834A79" w:rsidRPr="00EA0CBA">
                        <w:rPr>
                          <w:spacing w:val="-3"/>
                        </w:rPr>
                        <w:t>entière</w:t>
                      </w:r>
                      <w:r w:rsidR="00834A79">
                        <w:rPr>
                          <w:spacing w:val="-3"/>
                        </w:rPr>
                        <w:t>.</w:t>
                      </w:r>
                    </w:p>
                    <w:p w14:paraId="7869682B" w14:textId="79F29711" w:rsidR="00834A79" w:rsidRDefault="00834A7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les adultes de la région Bretagne </w:t>
                      </w:r>
                      <w:r w:rsidR="00FE3AF6">
                        <w:t xml:space="preserve">présentent des niveaux d’expérimentation </w:t>
                      </w:r>
                      <w:r w:rsidR="0089131B">
                        <w:t xml:space="preserve">de </w:t>
                      </w:r>
                      <w:r w:rsidR="00FE3AF6">
                        <w:t>poppers, ecstasy/MDMA</w:t>
                      </w:r>
                      <w:r w:rsidR="0089131B">
                        <w:t xml:space="preserve"> et</w:t>
                      </w:r>
                      <w:r w:rsidR="00FE3AF6">
                        <w:t xml:space="preserve"> </w:t>
                      </w:r>
                      <w:proofErr w:type="gramStart"/>
                      <w:r w:rsidR="00FE3AF6">
                        <w:t>crack</w:t>
                      </w:r>
                      <w:r w:rsidR="0089131B">
                        <w:t xml:space="preserve"> plus élevés</w:t>
                      </w:r>
                      <w:proofErr w:type="gramEnd"/>
                      <w:r w:rsidR="0089131B">
                        <w:t xml:space="preserve"> que dans les autres régions</w:t>
                      </w:r>
                      <w:r w:rsidR="00FE3AF6">
                        <w:t xml:space="preserve">. Cette tendance </w:t>
                      </w:r>
                      <w:r w:rsidR="0089131B">
                        <w:t>concerne davantage de produits</w:t>
                      </w:r>
                      <w:r w:rsidR="00FE3AF6">
                        <w:t xml:space="preserve"> parmi les jeunes de 17 ans</w:t>
                      </w:r>
                      <w:r>
                        <w:t xml:space="preserve">, </w:t>
                      </w:r>
                      <w:r w:rsidR="0089131B">
                        <w:t>p</w:t>
                      </w:r>
                      <w:r w:rsidR="00FE3AF6">
                        <w:t>lus particulièrement les stimulants (cocaïne, MDMA, amphétamines)</w:t>
                      </w:r>
                      <w:r>
                        <w:t xml:space="preserve">. </w:t>
                      </w:r>
                      <w:r w:rsidR="00FE3AF6">
                        <w:t>Cette surconsommation n’entraîne cependant pas de</w:t>
                      </w:r>
                      <w:r>
                        <w:rPr>
                          <w:spacing w:val="-3"/>
                        </w:rPr>
                        <w:t xml:space="preserve">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AC622A" w:rsidRPr="00AC622A">
                        <w:rPr>
                          <w:spacing w:val="-3"/>
                        </w:rPr>
                        <w:t>due aux accidents de la route ou aux surdoses liés aux drogues illicites</w:t>
                      </w:r>
                      <w:r w:rsidR="00AC622A">
                        <w:rPr>
                          <w:spacing w:val="-3"/>
                        </w:rPr>
                        <w:t>.</w:t>
                      </w:r>
                    </w:p>
                    <w:p w14:paraId="7ECE2045" w14:textId="77777777" w:rsidR="00834A79" w:rsidRDefault="00834A7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1F6346">
        <w:t>Bretagne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44"/>
        <w:gridCol w:w="629"/>
        <w:gridCol w:w="629"/>
        <w:gridCol w:w="705"/>
        <w:gridCol w:w="781"/>
        <w:gridCol w:w="781"/>
        <w:gridCol w:w="781"/>
      </w:tblGrid>
      <w:tr w:rsidR="00AB57B2" w:rsidRPr="00450AA9" w14:paraId="6B320BE0" w14:textId="77777777" w:rsidTr="00071D3D">
        <w:trPr>
          <w:trHeight w:val="300"/>
        </w:trPr>
        <w:tc>
          <w:tcPr>
            <w:tcW w:w="2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404AA435" w14:textId="77777777" w:rsidR="00AB57B2" w:rsidRPr="00450AA9" w:rsidRDefault="00AB57B2" w:rsidP="0007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A8A49BE" w14:textId="77777777" w:rsidR="00AB57B2" w:rsidRPr="00533B1C" w:rsidRDefault="00AB57B2" w:rsidP="0007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1F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Bretagne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63BB23F" w14:textId="77777777" w:rsidR="00AB57B2" w:rsidRPr="00533B1C" w:rsidRDefault="00AB57B2" w:rsidP="0007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4538FFFE" w14:textId="77777777" w:rsidTr="00320FA5">
        <w:trPr>
          <w:trHeight w:val="358"/>
        </w:trPr>
        <w:tc>
          <w:tcPr>
            <w:tcW w:w="2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9FE8D47" w14:textId="77777777" w:rsidR="00AB57B2" w:rsidRPr="00450AA9" w:rsidRDefault="00AB57B2" w:rsidP="00071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57ED534" w14:textId="15B4C78D" w:rsidR="00AB57B2" w:rsidRPr="00450AA9" w:rsidRDefault="00AB57B2" w:rsidP="00D60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676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DC601D5" w14:textId="043DD187" w:rsidR="00AB57B2" w:rsidRPr="00450AA9" w:rsidRDefault="00AB57B2" w:rsidP="00D60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752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0412F55" w14:textId="55FE309B" w:rsidR="00AB57B2" w:rsidRPr="00450AA9" w:rsidRDefault="00AB57B2" w:rsidP="00D60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1428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FC19963" w14:textId="77777777" w:rsidR="00AB57B2" w:rsidRPr="00450AA9" w:rsidRDefault="00AB57B2" w:rsidP="0007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12625B6" w14:textId="77777777" w:rsidR="00AB57B2" w:rsidRPr="00450AA9" w:rsidRDefault="00AB57B2" w:rsidP="0007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F817A2E" w14:textId="77777777" w:rsidR="00AB57B2" w:rsidRPr="00450AA9" w:rsidRDefault="00AB57B2" w:rsidP="00071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071D3D" w:rsidRPr="00450AA9" w14:paraId="702AFB0B" w14:textId="77777777" w:rsidTr="00071D3D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7F7A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ABF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98B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043" w14:textId="77777777" w:rsidR="00071D3D" w:rsidRPr="00071D3D" w:rsidRDefault="00071D3D" w:rsidP="00071D3D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97*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137" w14:textId="77777777" w:rsidR="00071D3D" w:rsidRPr="00071D3D" w:rsidRDefault="00071D3D" w:rsidP="00071D3D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3F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3D7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DAC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071D3D" w:rsidRPr="00450AA9" w14:paraId="2AC36610" w14:textId="77777777" w:rsidTr="00071D3D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D3DA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99A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6C1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36*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3D7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DE5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C4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A5A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F21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071D3D" w:rsidRPr="00450AA9" w14:paraId="4C00DE91" w14:textId="77777777" w:rsidTr="00071D3D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3BD2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01F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E05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79A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B38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8E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8CB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168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071D3D" w:rsidRPr="00450AA9" w14:paraId="4AF03AAC" w14:textId="77777777" w:rsidTr="00071D3D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E12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E9E0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7FB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32*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51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3C6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7CB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773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32A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071D3D" w:rsidRPr="00450AA9" w14:paraId="7C0886E5" w14:textId="77777777" w:rsidTr="00071D3D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F35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595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FC62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1D6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0DB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53E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F71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034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6E2B70" w:rsidRPr="00450AA9" w14:paraId="636A77EB" w14:textId="77777777" w:rsidTr="00071D3D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F0B5" w14:textId="77777777" w:rsidR="006E2B70" w:rsidRPr="00450AA9" w:rsidRDefault="006E2B70" w:rsidP="006E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0CA" w14:textId="6101DDAA" w:rsidR="006E2B70" w:rsidRPr="00450AA9" w:rsidRDefault="006E2B70" w:rsidP="006E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4C0A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18C" w14:textId="40AF22E4" w:rsidR="006E2B70" w:rsidRPr="00071D3D" w:rsidRDefault="006E2B70" w:rsidP="006E2B70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0299" w14:textId="6643FC43" w:rsidR="006E2B70" w:rsidRPr="00071D3D" w:rsidRDefault="006E2B70" w:rsidP="006E2B70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8ED" w14:textId="5A4753C2" w:rsidR="006E2B70" w:rsidRPr="00071D3D" w:rsidRDefault="006E2B70" w:rsidP="006E2B70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F6C" w14:textId="2C9F79B3" w:rsidR="006E2B70" w:rsidRPr="00D34329" w:rsidRDefault="006E2B70" w:rsidP="006E2B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1093" w14:textId="654C3A1E" w:rsidR="006E2B70" w:rsidRPr="00D34329" w:rsidRDefault="006E2B70" w:rsidP="006E2B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60B" w14:textId="1A7397DA" w:rsidR="006E2B70" w:rsidRPr="00D34329" w:rsidRDefault="006E2B70" w:rsidP="006E2B70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071D3D" w:rsidRPr="00450AA9" w14:paraId="75244D9B" w14:textId="77777777" w:rsidTr="006E2B70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6DDB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B3A" w14:textId="191507D2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4C0A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FA2E" w14:textId="195AD794" w:rsidR="00071D3D" w:rsidRPr="00071D3D" w:rsidRDefault="006E2B70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93B2" w14:textId="4D0CF5F2" w:rsidR="00071D3D" w:rsidRPr="00071D3D" w:rsidRDefault="006E2B70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FD77" w14:textId="05443310" w:rsidR="00071D3D" w:rsidRPr="00071D3D" w:rsidRDefault="006E2B70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3FD" w14:textId="0B648453" w:rsidR="00071D3D" w:rsidRPr="00D34329" w:rsidRDefault="006E2B70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EDF" w14:textId="19B342F4" w:rsidR="00071D3D" w:rsidRPr="00D34329" w:rsidRDefault="006E2B70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6250" w14:textId="045C65C1" w:rsidR="00071D3D" w:rsidRPr="00D34329" w:rsidRDefault="006E2B70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071D3D" w:rsidRPr="00450AA9" w14:paraId="4BCA1679" w14:textId="77777777" w:rsidTr="00071D3D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3C81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EAD2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87A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58*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761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621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49*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D6D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57B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A314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071D3D" w:rsidRPr="00450AA9" w14:paraId="59BEFE24" w14:textId="77777777" w:rsidTr="00071D3D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027D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9C8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55D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41C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90C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5802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3F1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FA4C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071D3D" w:rsidRPr="00450AA9" w14:paraId="6A0C9508" w14:textId="77777777" w:rsidTr="00071D3D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7E54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086D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203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A5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716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243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1D2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1B9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071D3D" w:rsidRPr="00450AA9" w14:paraId="69C6B0F5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10A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  <w:proofErr w:type="spellEnd"/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45E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E2D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0FF" w14:textId="77777777" w:rsidR="00071D3D" w:rsidRPr="00071D3D" w:rsidRDefault="00071D3D" w:rsidP="00071D3D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8A5" w14:textId="77777777" w:rsidR="00071D3D" w:rsidRPr="00071D3D" w:rsidRDefault="00071D3D" w:rsidP="00071D3D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B31E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56E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D8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071D3D" w:rsidRPr="00450AA9" w14:paraId="0E0BEA95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1C8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2E9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9C2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DA5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86F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DD4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04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0FC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071D3D" w:rsidRPr="00450AA9" w14:paraId="40FCA664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196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5D3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BCB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10*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A1C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80CB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D34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2E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61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071D3D" w:rsidRPr="00450AA9" w14:paraId="10277D14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97B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DBE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4EF6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6D5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FB3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319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0AFC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22A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071D3D" w:rsidRPr="00450AA9" w14:paraId="730F7ED4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173F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174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99E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6A25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CAC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7D84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4B0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4E5A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071D3D" w:rsidRPr="00450AA9" w14:paraId="48856975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2B3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76E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EEF6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1B4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42A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FDED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51CD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41B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071D3D" w:rsidRPr="00450AA9" w14:paraId="0FFDDE83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8BD7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84E2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9A6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6C7D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FAF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FDB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C91C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F715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071D3D" w:rsidRPr="00450AA9" w14:paraId="18DCD1F2" w14:textId="77777777" w:rsidTr="00071D3D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110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280" w14:textId="77777777" w:rsidR="00071D3D" w:rsidRPr="00450AA9" w:rsidRDefault="00071D3D" w:rsidP="00071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17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7B28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6C19" w14:textId="77777777" w:rsidR="00071D3D" w:rsidRPr="00071D3D" w:rsidRDefault="00071D3D" w:rsidP="00071D3D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843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942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0EA6" w14:textId="77777777" w:rsidR="00071D3D" w:rsidRPr="00D34329" w:rsidRDefault="00071D3D" w:rsidP="00071D3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6A6EEA02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57BB789A" w14:textId="77777777" w:rsidR="00131401" w:rsidRDefault="00131401" w:rsidP="00131401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6EC0B930" w14:textId="56D9CC0B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E00A6F">
        <w:rPr>
          <w:rFonts w:ascii="Eurocrat" w:hAnsi="Eurocrat"/>
          <w:color w:val="FF0000"/>
          <w:sz w:val="14"/>
          <w:szCs w:val="14"/>
        </w:rPr>
        <w:t>36</w:t>
      </w:r>
      <w:r w:rsidRPr="000F609D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E00A6F">
        <w:rPr>
          <w:rFonts w:ascii="Eurocrat" w:hAnsi="Eurocrat"/>
          <w:color w:val="4A4948"/>
          <w:sz w:val="14"/>
          <w:szCs w:val="14"/>
        </w:rPr>
        <w:t xml:space="preserve">régulier d’alcool des hommes </w:t>
      </w:r>
      <w:r>
        <w:rPr>
          <w:rFonts w:ascii="Eurocrat" w:hAnsi="Eurocrat"/>
          <w:color w:val="4A4948"/>
          <w:sz w:val="14"/>
          <w:szCs w:val="14"/>
        </w:rPr>
        <w:t xml:space="preserve">dans la région est supérieur </w:t>
      </w:r>
      <w:r w:rsidR="003A66ED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728D50C2" w14:textId="0DEAF2DF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D609C8" w:rsidRPr="00A724E9">
        <w:t xml:space="preserve">à </w:t>
      </w:r>
      <w:r w:rsidR="00D609C8">
        <w:t>l’âge adulte</w:t>
      </w:r>
      <w:r w:rsidRPr="00A724E9">
        <w:t xml:space="preserve"> dans la région </w:t>
      </w:r>
      <w:r w:rsidR="001F6346">
        <w:t>Bretagne</w:t>
      </w:r>
      <w:r w:rsidRPr="00A724E9">
        <w:t xml:space="preserve"> et en France métropolitaine entre 2005 et 2017 (%)</w:t>
      </w:r>
    </w:p>
    <w:p w14:paraId="32601917" w14:textId="77777777" w:rsidR="00AB57B2" w:rsidRDefault="00500CFC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500CFC">
        <w:rPr>
          <w:noProof/>
          <w:lang w:eastAsia="fr-FR"/>
        </w:rPr>
        <w:drawing>
          <wp:inline distT="0" distB="0" distL="0" distR="0" wp14:anchorId="5F77BD06" wp14:editId="073C4171">
            <wp:extent cx="4819650" cy="289949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46" cy="291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4F83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7F8A2B5A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1F6346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Bretagne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1F6346" w14:paraId="0C194423" w14:textId="77777777" w:rsidTr="001F6346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72AE28EF" w14:textId="77777777" w:rsidR="00F6482C" w:rsidRPr="001F6346" w:rsidRDefault="00F6482C" w:rsidP="001F63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E6541CD" w14:textId="77777777" w:rsidR="00F6482C" w:rsidRPr="001F6346" w:rsidRDefault="00F6482C" w:rsidP="001F63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Région </w:t>
            </w:r>
            <w:r w:rsidR="001F6346"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Bretagne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D9A1B62" w14:textId="77777777" w:rsidR="00F6482C" w:rsidRPr="001F6346" w:rsidRDefault="00F6482C" w:rsidP="001F63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France métropolitaine</w:t>
            </w:r>
          </w:p>
        </w:tc>
      </w:tr>
      <w:tr w:rsidR="00F6482C" w:rsidRPr="001F6346" w14:paraId="4ACD1F78" w14:textId="77777777" w:rsidTr="001F6346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057BBC5" w14:textId="77777777" w:rsidR="00F6482C" w:rsidRPr="001F6346" w:rsidRDefault="00F6482C" w:rsidP="001F63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0CB523B" w14:textId="2E55443C" w:rsidR="00F6482C" w:rsidRPr="001F6346" w:rsidRDefault="00F6482C" w:rsidP="00D609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1097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31E56DC" w14:textId="7CB75F5F" w:rsidR="00F6482C" w:rsidRPr="001F6346" w:rsidRDefault="00F6482C" w:rsidP="00D609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1144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DF6FCF5" w14:textId="1AE863E6" w:rsidR="00F6482C" w:rsidRPr="001F6346" w:rsidRDefault="00F6482C" w:rsidP="00D609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D609C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2241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7530979" w14:textId="77777777" w:rsidR="00F6482C" w:rsidRPr="001F6346" w:rsidRDefault="00F6482C" w:rsidP="001F63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79F4D93" w14:textId="77777777" w:rsidR="00F6482C" w:rsidRPr="001F6346" w:rsidRDefault="00F6482C" w:rsidP="001F63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56FBDB2" w14:textId="77777777" w:rsidR="00F6482C" w:rsidRPr="001F6346" w:rsidRDefault="00F6482C" w:rsidP="001F63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1F634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1F6346" w:rsidRPr="001F6346" w14:paraId="73113100" w14:textId="77777777" w:rsidTr="001F634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536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18E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5BB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50C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D74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94*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ACA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471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3D1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1F6346" w:rsidRPr="001F6346" w14:paraId="26C2142D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B24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3F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007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79*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4C4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76*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672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78*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4FA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230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D55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1F6346" w:rsidRPr="001F6346" w14:paraId="0C22E2EE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C435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87E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1B4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777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75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5D4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630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6EA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1F6346" w:rsidRPr="001F6346" w14:paraId="39A9C513" w14:textId="77777777" w:rsidTr="001F6346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8B9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6E5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FD1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0B5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C4A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93D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14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2DF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1F6346" w:rsidRPr="001F6346" w14:paraId="43E4D1A8" w14:textId="77777777" w:rsidTr="001F634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F5B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DA6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201C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66*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DBD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67*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7503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67*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666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DBD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113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1F6346" w:rsidRPr="001F6346" w14:paraId="12D7455F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E602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B9C" w14:textId="7C75AA25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4C0A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431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171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D7D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24EB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C44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C95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1F6346" w:rsidRPr="001F6346" w14:paraId="6C1DFCCD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B8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14DA" w14:textId="1B6BE71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4C0A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B4A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0349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359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047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108E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EC7B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1F6346" w:rsidRPr="001F6346" w14:paraId="64C79C1F" w14:textId="77777777" w:rsidTr="001F634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7AC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D6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D35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CFC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08E6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917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2D0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E5AB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1F6346" w:rsidRPr="001F6346" w14:paraId="0B43A85E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4AA5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FAB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BA42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8A0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303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F78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FF4B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BC6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1F6346" w:rsidRPr="001F6346" w14:paraId="166817B1" w14:textId="77777777" w:rsidTr="001F634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E508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74E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52F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83E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6E5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6E5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8E0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29D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1F6346" w:rsidRPr="001F6346" w14:paraId="780C277F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EEF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Poppers</w:t>
            </w:r>
            <w:proofErr w:type="spellEnd"/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20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04A6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BAD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762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13*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728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BF22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56E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1F6346" w:rsidRPr="001F6346" w14:paraId="175A50CD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E9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22C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5F3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C4F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9528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CEF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8A7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19D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1F6346" w:rsidRPr="001F6346" w14:paraId="4A8F8197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700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37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8E3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1F7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EBC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926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8C8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06A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1F6346" w:rsidRPr="001F6346" w14:paraId="4BCBA7D7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6AF3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D819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F9B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623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4B0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1B7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1CA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50B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1F6346" w:rsidRPr="001F6346" w14:paraId="06D32FF7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CC1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64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7D0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71D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7121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BE4E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C7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20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1F6346" w:rsidRPr="001F6346" w14:paraId="6096369D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CF26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C64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E45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404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3D52" w14:textId="77777777" w:rsidR="001F6346" w:rsidRPr="00071D3D" w:rsidRDefault="001F6346" w:rsidP="001F634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071D3D">
              <w:rPr>
                <w:color w:val="FF0000"/>
                <w:sz w:val="14"/>
                <w:szCs w:val="14"/>
              </w:rPr>
              <w:t>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3F8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17D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D92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1F6346" w:rsidRPr="001F6346" w14:paraId="313DB165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74C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EE2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31B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813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C5DD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DE2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E79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6AB6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1F6346" w:rsidRPr="001F6346" w14:paraId="42013337" w14:textId="77777777" w:rsidTr="001F634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B1D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C95" w14:textId="77777777" w:rsidR="001F6346" w:rsidRPr="001F6346" w:rsidRDefault="001F6346" w:rsidP="001F6346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10D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8EF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EEB" w14:textId="77777777" w:rsidR="001F6346" w:rsidRPr="001F6346" w:rsidRDefault="001F6346" w:rsidP="001F6346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1F634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766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33EF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D10" w14:textId="77777777" w:rsidR="001F6346" w:rsidRPr="001F6346" w:rsidRDefault="001F6346" w:rsidP="001F63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1F6346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4316AE1B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4E0E9119" w14:textId="77777777" w:rsidR="00131401" w:rsidRDefault="00131401" w:rsidP="00131401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2EA2AB74" w14:textId="158D2D62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E00A6F">
        <w:rPr>
          <w:rFonts w:ascii="Eurocrat" w:hAnsi="Eurocrat"/>
          <w:color w:val="FF0000"/>
          <w:sz w:val="14"/>
          <w:szCs w:val="14"/>
        </w:rPr>
        <w:t>67</w:t>
      </w:r>
      <w:r w:rsidRPr="00E00A6F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E00A6F">
        <w:rPr>
          <w:rFonts w:ascii="Eurocrat" w:hAnsi="Eurocrat"/>
          <w:color w:val="4A4948"/>
          <w:sz w:val="14"/>
          <w:szCs w:val="14"/>
        </w:rPr>
        <w:t>e niveau d</w:t>
      </w:r>
      <w:r>
        <w:rPr>
          <w:rFonts w:ascii="Eurocrat" w:hAnsi="Eurocrat"/>
          <w:color w:val="4A4948"/>
          <w:sz w:val="14"/>
          <w:szCs w:val="14"/>
        </w:rPr>
        <w:t xml:space="preserve">’expérimentation de tabac dans la région est </w:t>
      </w:r>
      <w:r w:rsidR="00E00A6F">
        <w:rPr>
          <w:rFonts w:ascii="Eurocrat" w:hAnsi="Eurocrat"/>
          <w:color w:val="4A4948"/>
          <w:sz w:val="14"/>
          <w:szCs w:val="14"/>
        </w:rPr>
        <w:t>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3A66ED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</w:t>
      </w:r>
      <w:r w:rsidR="00E00A6F">
        <w:rPr>
          <w:rFonts w:ascii="Eurocrat" w:hAnsi="Eurocrat"/>
          <w:color w:val="4A4948"/>
          <w:sz w:val="14"/>
          <w:szCs w:val="14"/>
        </w:rPr>
        <w:t>celui</w:t>
      </w:r>
      <w:r>
        <w:rPr>
          <w:rFonts w:ascii="Eurocrat" w:hAnsi="Eurocrat"/>
          <w:color w:val="4A4948"/>
          <w:sz w:val="14"/>
          <w:szCs w:val="14"/>
        </w:rPr>
        <w:t xml:space="preserve">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3B1E156B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1F6346">
        <w:t>Bretagne</w:t>
      </w:r>
      <w:r w:rsidR="00450AA9" w:rsidRPr="00F616B9">
        <w:t xml:space="preserve"> et en France métropolitaine entre 2005 et 2017 (%)</w:t>
      </w:r>
    </w:p>
    <w:p w14:paraId="0C288656" w14:textId="77777777" w:rsidR="00EC2B3A" w:rsidRDefault="00500CFC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500CFC">
        <w:rPr>
          <w:noProof/>
          <w:lang w:eastAsia="fr-FR"/>
        </w:rPr>
        <w:drawing>
          <wp:inline distT="0" distB="0" distL="0" distR="0" wp14:anchorId="5AB0B89D" wp14:editId="3B18FDF3">
            <wp:extent cx="4467225" cy="2571241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40" cy="26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64A44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444EF540" w14:textId="44FD2573" w:rsidR="00212A7B" w:rsidRPr="008361EB" w:rsidRDefault="005A2918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lastRenderedPageBreak/>
        <w:t>Autres indicateurs liés aux usages de produits psychoactifs</w:t>
      </w: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1794BC08" w14:textId="77777777" w:rsidTr="00AE4C44">
        <w:tc>
          <w:tcPr>
            <w:tcW w:w="2207" w:type="dxa"/>
            <w:shd w:val="clear" w:color="auto" w:fill="D5D5CB"/>
            <w:vAlign w:val="center"/>
          </w:tcPr>
          <w:p w14:paraId="24238233" w14:textId="77777777" w:rsidR="00C41E43" w:rsidRPr="005E3085" w:rsidRDefault="00C41E43" w:rsidP="0065767E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0146B23A" w14:textId="77777777" w:rsidR="00C41E43" w:rsidRPr="005E3085" w:rsidRDefault="00C41E43" w:rsidP="0065767E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10300A6E" w14:textId="77777777" w:rsidR="00C41E43" w:rsidRPr="00DC15D8" w:rsidRDefault="001F6346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Bretagne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1E0CC9A6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6BA0A04F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0C32E556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1F6346" w:rsidRPr="00DC15D8" w14:paraId="3D92F11F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3FFE43B1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1877AD67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42440290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6,0</w:t>
            </w:r>
          </w:p>
        </w:tc>
        <w:tc>
          <w:tcPr>
            <w:tcW w:w="1732" w:type="dxa"/>
            <w:vAlign w:val="center"/>
          </w:tcPr>
          <w:p w14:paraId="4623265A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4D8334F1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1F6346" w:rsidRPr="00DC15D8" w14:paraId="19E161CE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4938F77F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297B96AF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05507F5C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3,3</w:t>
            </w:r>
          </w:p>
        </w:tc>
        <w:tc>
          <w:tcPr>
            <w:tcW w:w="1732" w:type="dxa"/>
            <w:vAlign w:val="center"/>
          </w:tcPr>
          <w:p w14:paraId="7C32A058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3D3E4B73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1F6346" w:rsidRPr="00DC15D8" w14:paraId="473B1710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7671EC4E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0B836FB0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4C607673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17,1</w:t>
            </w:r>
          </w:p>
        </w:tc>
        <w:tc>
          <w:tcPr>
            <w:tcW w:w="1732" w:type="dxa"/>
            <w:vAlign w:val="center"/>
          </w:tcPr>
          <w:p w14:paraId="2BACE681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2313BCB4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1F6346" w:rsidRPr="00DC15D8" w14:paraId="7FCA342B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40F09A34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9588B1D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04DDC9A8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42,7</w:t>
            </w:r>
          </w:p>
        </w:tc>
        <w:tc>
          <w:tcPr>
            <w:tcW w:w="1732" w:type="dxa"/>
            <w:vAlign w:val="center"/>
          </w:tcPr>
          <w:p w14:paraId="4B8DD7A5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1B96B5D4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1F6346" w:rsidRPr="00DC15D8" w14:paraId="1F9E91F5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0B4051A2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3D8858A4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32BD6C89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21,2</w:t>
            </w:r>
          </w:p>
        </w:tc>
        <w:tc>
          <w:tcPr>
            <w:tcW w:w="1732" w:type="dxa"/>
            <w:vAlign w:val="center"/>
          </w:tcPr>
          <w:p w14:paraId="27F99F42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2E5F7880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1F6346" w:rsidRPr="00DC15D8" w14:paraId="763A4315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2152141C" w14:textId="284A6B3B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BC342E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64DA412C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24032E5F" w14:textId="476627F0" w:rsidR="001F6346" w:rsidRDefault="00BC342E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304,6</w:t>
            </w:r>
          </w:p>
        </w:tc>
        <w:tc>
          <w:tcPr>
            <w:tcW w:w="1732" w:type="dxa"/>
            <w:vAlign w:val="center"/>
          </w:tcPr>
          <w:p w14:paraId="2916AFE1" w14:textId="294199A2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BC342E">
              <w:rPr>
                <w:rFonts w:ascii="Calibri" w:hAnsi="Calibri"/>
                <w:sz w:val="18"/>
                <w:szCs w:val="18"/>
              </w:rPr>
              <w:t>46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BC342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66661B82" w14:textId="0BE3C731" w:rsidR="001F6346" w:rsidRDefault="00BC342E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1F6346" w:rsidRPr="00DC15D8" w14:paraId="4934FDB9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342C7C4F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29A9A9F5" w14:textId="77777777" w:rsidR="001F6346" w:rsidRPr="00DC15D8" w:rsidRDefault="001F6346" w:rsidP="001F634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6CE9EBE0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0,7</w:t>
            </w:r>
          </w:p>
        </w:tc>
        <w:tc>
          <w:tcPr>
            <w:tcW w:w="1732" w:type="dxa"/>
            <w:vAlign w:val="center"/>
          </w:tcPr>
          <w:p w14:paraId="650AE257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6D9A0815" w14:textId="77777777" w:rsidR="001F6346" w:rsidRDefault="001F6346" w:rsidP="001F63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BC342E" w:rsidRPr="00DC15D8" w14:paraId="2B1AA51B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3264C08" w14:textId="4178AD5E" w:rsidR="00BC342E" w:rsidRPr="00DC15D8" w:rsidRDefault="00BC342E" w:rsidP="00BC342E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3F3F8D06" w14:textId="21BDC5C0" w:rsidR="00BC342E" w:rsidRPr="00DC15D8" w:rsidRDefault="00BC342E" w:rsidP="00BC342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0411E8EA" w14:textId="08580AE7" w:rsidR="00BC342E" w:rsidRDefault="00BC342E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15,6</w:t>
            </w:r>
          </w:p>
        </w:tc>
        <w:tc>
          <w:tcPr>
            <w:tcW w:w="1732" w:type="dxa"/>
            <w:vAlign w:val="center"/>
          </w:tcPr>
          <w:p w14:paraId="3E21024B" w14:textId="34A70394" w:rsidR="00BC342E" w:rsidRDefault="00BC342E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1361D44F" w14:textId="06411F6F" w:rsidR="00BC342E" w:rsidRDefault="00BC342E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BC342E" w:rsidRPr="00DC15D8" w14:paraId="4A413144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4D1E29E8" w14:textId="2992A169" w:rsidR="00BC342E" w:rsidRPr="00DC15D8" w:rsidRDefault="00BC342E" w:rsidP="00BC342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(2020)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193A7809" w14:textId="6C39905E" w:rsidR="00BC342E" w:rsidRPr="00DC15D8" w:rsidRDefault="00BC342E" w:rsidP="00BC342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731BA112" w14:textId="78EDED56" w:rsidR="00BC342E" w:rsidRDefault="00BC342E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30,1</w:t>
            </w:r>
          </w:p>
        </w:tc>
        <w:tc>
          <w:tcPr>
            <w:tcW w:w="1732" w:type="dxa"/>
            <w:vAlign w:val="center"/>
          </w:tcPr>
          <w:p w14:paraId="05FF2B66" w14:textId="1797F284" w:rsidR="00BC342E" w:rsidRDefault="00BC342E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2930A546" w14:textId="70593015" w:rsidR="00BC342E" w:rsidRDefault="00107CAC" w:rsidP="00BC3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</w:tbl>
    <w:p w14:paraId="71F340E7" w14:textId="77777777" w:rsidR="00320FA5" w:rsidRDefault="00320FA5" w:rsidP="008361EB">
      <w:pPr>
        <w:pStyle w:val="Sous-titre"/>
        <w:rPr>
          <w:rFonts w:eastAsia="Arial Unicode MS"/>
        </w:rPr>
      </w:pPr>
    </w:p>
    <w:p w14:paraId="5A79A3BB" w14:textId="77777777" w:rsidR="00320FA5" w:rsidRDefault="00320FA5" w:rsidP="008361EB">
      <w:pPr>
        <w:pStyle w:val="Sous-titre"/>
        <w:rPr>
          <w:rFonts w:eastAsia="Arial Unicode MS"/>
        </w:rPr>
      </w:pPr>
    </w:p>
    <w:p w14:paraId="024DE98E" w14:textId="77777777" w:rsidR="00320FA5" w:rsidRDefault="00320FA5" w:rsidP="008361EB">
      <w:pPr>
        <w:pStyle w:val="Sous-titre"/>
        <w:rPr>
          <w:rFonts w:eastAsia="Arial Unicode MS"/>
        </w:rPr>
      </w:pPr>
    </w:p>
    <w:p w14:paraId="2F3E9BF1" w14:textId="77777777" w:rsidR="00320FA5" w:rsidRDefault="00320FA5" w:rsidP="008361EB">
      <w:pPr>
        <w:pStyle w:val="Sous-titre"/>
        <w:rPr>
          <w:rFonts w:eastAsia="Arial Unicode MS"/>
        </w:rPr>
      </w:pPr>
    </w:p>
    <w:p w14:paraId="10F671DC" w14:textId="06F0EA63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BC342E">
        <w:rPr>
          <w:rFonts w:eastAsia="Arial Unicode MS"/>
        </w:rPr>
        <w:t xml:space="preserve">, </w:t>
      </w:r>
      <w:r w:rsidR="00BC342E" w:rsidRPr="00C8318B">
        <w:rPr>
          <w:rFonts w:eastAsia="Arial Unicode MS"/>
        </w:rPr>
        <w:t>(</w:t>
      </w:r>
      <w:r w:rsidR="00BC342E">
        <w:rPr>
          <w:rFonts w:eastAsia="Arial Unicode MS"/>
        </w:rPr>
        <w:t>5</w:t>
      </w:r>
      <w:r w:rsidR="00BC342E" w:rsidRPr="00C8318B">
        <w:rPr>
          <w:rFonts w:eastAsia="Arial Unicode MS"/>
        </w:rPr>
        <w:t>) DGGN/DGPN/Préfecture de police de Paris, (</w:t>
      </w:r>
      <w:r w:rsidR="00BC342E">
        <w:rPr>
          <w:rFonts w:eastAsia="Arial Unicode MS"/>
        </w:rPr>
        <w:t>6</w:t>
      </w:r>
      <w:r w:rsidR="00BC342E" w:rsidRPr="00C8318B">
        <w:rPr>
          <w:rFonts w:eastAsia="Arial Unicode MS"/>
        </w:rPr>
        <w:t>) Etat 4001</w:t>
      </w:r>
    </w:p>
    <w:sectPr w:rsidR="009C1862" w:rsidRPr="00C8318B" w:rsidSect="00320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3F00" w14:textId="77777777" w:rsidR="00834A79" w:rsidRDefault="00834A79" w:rsidP="009C1862">
      <w:pPr>
        <w:spacing w:after="0" w:line="240" w:lineRule="auto"/>
      </w:pPr>
      <w:r>
        <w:separator/>
      </w:r>
    </w:p>
  </w:endnote>
  <w:endnote w:type="continuationSeparator" w:id="0">
    <w:p w14:paraId="443AD008" w14:textId="77777777" w:rsidR="00834A79" w:rsidRDefault="00834A79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217E" w14:textId="77777777" w:rsidR="008F5AC6" w:rsidRDefault="008F5A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4AA4" w14:textId="26FA7325" w:rsidR="00834A79" w:rsidRPr="00AE3AC0" w:rsidRDefault="00320FA5" w:rsidP="008F5AC6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6A1D798" wp14:editId="66D0E944">
          <wp:extent cx="215265" cy="2152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76" cy="21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8F5AC6" w:rsidRPr="008F5AC6">
      <w:rPr>
        <w:b/>
        <w:color w:val="767171"/>
        <w:sz w:val="20"/>
        <w:szCs w:val="20"/>
      </w:rPr>
      <w:t>Mise à jour : décembre 2021</w:t>
    </w:r>
    <w:bookmarkStart w:id="0" w:name="_GoBack"/>
    <w:bookmarkEnd w:id="0"/>
  </w:p>
  <w:p w14:paraId="2D8B3352" w14:textId="77777777" w:rsidR="00834A79" w:rsidRDefault="00834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1D2" w14:textId="77777777" w:rsidR="008F5AC6" w:rsidRDefault="008F5A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8F89" w14:textId="77777777" w:rsidR="00834A79" w:rsidRDefault="00834A79" w:rsidP="009C1862">
      <w:pPr>
        <w:spacing w:after="0" w:line="240" w:lineRule="auto"/>
      </w:pPr>
      <w:r>
        <w:separator/>
      </w:r>
    </w:p>
  </w:footnote>
  <w:footnote w:type="continuationSeparator" w:id="0">
    <w:p w14:paraId="6C083A05" w14:textId="77777777" w:rsidR="00834A79" w:rsidRDefault="00834A79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5218" w14:textId="77777777" w:rsidR="008F5AC6" w:rsidRDefault="008F5A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1F39" w14:textId="77777777" w:rsidR="008F5AC6" w:rsidRDefault="008F5A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C1B9" w14:textId="77777777" w:rsidR="008F5AC6" w:rsidRDefault="008F5A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2106"/>
    <w:rsid w:val="00071D3D"/>
    <w:rsid w:val="000F12BC"/>
    <w:rsid w:val="000F59CE"/>
    <w:rsid w:val="000F609D"/>
    <w:rsid w:val="00107CAC"/>
    <w:rsid w:val="001175CB"/>
    <w:rsid w:val="0012151D"/>
    <w:rsid w:val="00131401"/>
    <w:rsid w:val="00134A9B"/>
    <w:rsid w:val="0014685F"/>
    <w:rsid w:val="001A385F"/>
    <w:rsid w:val="001B63FF"/>
    <w:rsid w:val="001E2849"/>
    <w:rsid w:val="001F6346"/>
    <w:rsid w:val="001F7C76"/>
    <w:rsid w:val="00212A7B"/>
    <w:rsid w:val="00297D29"/>
    <w:rsid w:val="002C1BBB"/>
    <w:rsid w:val="00320FA5"/>
    <w:rsid w:val="00340BB1"/>
    <w:rsid w:val="00346D5C"/>
    <w:rsid w:val="00357DAB"/>
    <w:rsid w:val="00395489"/>
    <w:rsid w:val="003A66ED"/>
    <w:rsid w:val="00444F5B"/>
    <w:rsid w:val="00450AA9"/>
    <w:rsid w:val="004C0A56"/>
    <w:rsid w:val="004F2570"/>
    <w:rsid w:val="00500CFC"/>
    <w:rsid w:val="00533B1C"/>
    <w:rsid w:val="00557DB0"/>
    <w:rsid w:val="005A2918"/>
    <w:rsid w:val="005C7D85"/>
    <w:rsid w:val="005E3085"/>
    <w:rsid w:val="00643EF2"/>
    <w:rsid w:val="006446A1"/>
    <w:rsid w:val="0065767E"/>
    <w:rsid w:val="00672F96"/>
    <w:rsid w:val="006E2B70"/>
    <w:rsid w:val="006E4378"/>
    <w:rsid w:val="007F1849"/>
    <w:rsid w:val="00806857"/>
    <w:rsid w:val="00834A79"/>
    <w:rsid w:val="008361EB"/>
    <w:rsid w:val="00867DB9"/>
    <w:rsid w:val="00874167"/>
    <w:rsid w:val="0089131B"/>
    <w:rsid w:val="0089402F"/>
    <w:rsid w:val="008948E0"/>
    <w:rsid w:val="00897AD5"/>
    <w:rsid w:val="008F5AC6"/>
    <w:rsid w:val="009C1862"/>
    <w:rsid w:val="009E5BA6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C622A"/>
    <w:rsid w:val="00AE3AC0"/>
    <w:rsid w:val="00AE4C44"/>
    <w:rsid w:val="00B15545"/>
    <w:rsid w:val="00B64B5D"/>
    <w:rsid w:val="00B66DE2"/>
    <w:rsid w:val="00BB0E10"/>
    <w:rsid w:val="00BC342E"/>
    <w:rsid w:val="00C048FD"/>
    <w:rsid w:val="00C1652D"/>
    <w:rsid w:val="00C41E43"/>
    <w:rsid w:val="00C8318B"/>
    <w:rsid w:val="00CB02F4"/>
    <w:rsid w:val="00CB5416"/>
    <w:rsid w:val="00D34329"/>
    <w:rsid w:val="00D34C73"/>
    <w:rsid w:val="00D609C8"/>
    <w:rsid w:val="00D71013"/>
    <w:rsid w:val="00DC15D8"/>
    <w:rsid w:val="00E00A6F"/>
    <w:rsid w:val="00E26445"/>
    <w:rsid w:val="00EC2B3A"/>
    <w:rsid w:val="00F21E1B"/>
    <w:rsid w:val="00F45A4E"/>
    <w:rsid w:val="00F4642A"/>
    <w:rsid w:val="00F616B9"/>
    <w:rsid w:val="00F6482C"/>
    <w:rsid w:val="00FA718E"/>
    <w:rsid w:val="00FD415B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05D663B"/>
  <w15:docId w15:val="{62405292-F29D-4CE5-8FB2-C1ACB763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16</cp:revision>
  <cp:lastPrinted>2019-12-10T15:48:00Z</cp:lastPrinted>
  <dcterms:created xsi:type="dcterms:W3CDTF">2019-12-16T16:50:00Z</dcterms:created>
  <dcterms:modified xsi:type="dcterms:W3CDTF">2021-12-19T17:04:00Z</dcterms:modified>
</cp:coreProperties>
</file>