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99165" w14:textId="652F0497" w:rsidR="00F616B9" w:rsidRDefault="00DD15FA" w:rsidP="005C7D85">
      <w:pPr>
        <w:ind w:left="142"/>
      </w:pPr>
      <w:r>
        <w:rPr>
          <w:noProof/>
          <w:lang w:eastAsia="fr-FR"/>
        </w:rPr>
        <w:drawing>
          <wp:inline distT="0" distB="0" distL="0" distR="0" wp14:anchorId="57CFF536" wp14:editId="1A08FD20">
            <wp:extent cx="6188710" cy="188404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87F7" w14:textId="77777777" w:rsidR="00AB57B2" w:rsidRPr="00AB57B2" w:rsidRDefault="00221555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C27EB" wp14:editId="05444189">
                <wp:simplePos x="0" y="0"/>
                <wp:positionH relativeFrom="column">
                  <wp:posOffset>148924</wp:posOffset>
                </wp:positionH>
                <wp:positionV relativeFrom="paragraph">
                  <wp:posOffset>726224</wp:posOffset>
                </wp:positionV>
                <wp:extent cx="418454" cy="5042115"/>
                <wp:effectExtent l="0" t="0" r="127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54" cy="5042115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A70ED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C27E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75pt;margin-top:57.2pt;width:32.95pt;height:3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" fillcolor="#d5d5cb" stroked="f" strokeweight=".5pt">
                <v:fill opacity="54998f"/>
                <v:textbox style="layout-flow:vertical;mso-layout-flow-alt:bottom-to-top" inset=",1mm">
                  <w:txbxContent>
                    <w:p w14:paraId="34DA70ED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2CC1C" wp14:editId="68AD0F82">
                <wp:simplePos x="0" y="0"/>
                <wp:positionH relativeFrom="margin">
                  <wp:posOffset>14605</wp:posOffset>
                </wp:positionH>
                <wp:positionV relativeFrom="paragraph">
                  <wp:posOffset>658495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2EDD" w14:textId="0C2A30D3" w:rsidR="00F616B9" w:rsidRPr="00AA164D" w:rsidRDefault="00221555" w:rsidP="00F616B9">
                            <w:pPr>
                              <w:ind w:left="851"/>
                              <w:jc w:val="both"/>
                            </w:pPr>
                            <w:r>
                              <w:t>L’expérimentation de tabac en Nouvelle-Aquitaine est le seul indicateur à se démarquer en population adulte (en 2017, 97 </w:t>
                            </w:r>
                            <w:r w:rsidRPr="00AA164D">
                              <w:t xml:space="preserve">% des 18-75 ans </w:t>
                            </w:r>
                            <w:r>
                              <w:t xml:space="preserve">avaient fumé au moins une fois au cours de leur vie, </w:t>
                            </w:r>
                            <w:r w:rsidRPr="00AA164D">
                              <w:t xml:space="preserve">contre </w:t>
                            </w:r>
                            <w:r w:rsidR="008610E8">
                              <w:t>95</w:t>
                            </w:r>
                            <w:r>
                              <w:t> </w:t>
                            </w:r>
                            <w:r w:rsidRPr="00AA164D">
                              <w:t xml:space="preserve">% </w:t>
                            </w:r>
                            <w:r>
                              <w:t>pou</w:t>
                            </w:r>
                            <w:r w:rsidRPr="00AA164D">
                              <w:t>r l’ensemb</w:t>
                            </w:r>
                            <w:r>
                              <w:t xml:space="preserve">le de la France métropolitaine), différence significative </w:t>
                            </w:r>
                            <w:r w:rsidR="000B12D3">
                              <w:t>imputable</w:t>
                            </w:r>
                            <w:r>
                              <w:t xml:space="preserve"> aux femmes. Les jeunes de 17 ans de la région </w:t>
                            </w:r>
                            <w:r w:rsidR="00C56F77">
                              <w:t>ont</w:t>
                            </w:r>
                            <w:r>
                              <w:t xml:space="preserve"> quant à eux des niveaux de tabagisme plus élevés, y compris quotidien (29 % </w:t>
                            </w:r>
                            <w:r w:rsidRPr="00C56F77">
                              <w:rPr>
                                <w:i/>
                              </w:rPr>
                              <w:t>vs</w:t>
                            </w:r>
                            <w:r>
                              <w:t xml:space="preserve"> 25 %)</w:t>
                            </w:r>
                            <w:r w:rsidR="00F616B9" w:rsidRPr="00AA164D">
                              <w:t xml:space="preserve">. </w:t>
                            </w:r>
                            <w:r>
                              <w:t>L</w:t>
                            </w:r>
                            <w:r w:rsidR="00F616B9" w:rsidRPr="00AA164D">
                              <w:t xml:space="preserve">a mortalité liée aux cancers des voies pulmonaires </w:t>
                            </w:r>
                            <w:r>
                              <w:t xml:space="preserve">est supérieure </w:t>
                            </w:r>
                            <w:r w:rsidR="00C56F77">
                              <w:t xml:space="preserve">à </w:t>
                            </w:r>
                            <w:r>
                              <w:t>la moyenne nationale.</w:t>
                            </w:r>
                          </w:p>
                          <w:p w14:paraId="4244BC5C" w14:textId="77777777" w:rsidR="00F616B9" w:rsidRDefault="00221555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Les différences significatives observées concernant les usages d’alcool chez les adultes sont portées par les hommes (par exemple, 20 % des hommes déclaraient en 2017 un usage quotidien </w:t>
                            </w:r>
                            <w:r w:rsidRPr="00C56F77">
                              <w:rPr>
                                <w:i/>
                              </w:rPr>
                              <w:t>vs</w:t>
                            </w:r>
                            <w:r>
                              <w:t xml:space="preserve"> 16 %</w:t>
                            </w:r>
                            <w:r w:rsidR="00897AD5">
                              <w:t>)</w:t>
                            </w:r>
                            <w:r>
                              <w:t xml:space="preserve">. </w:t>
                            </w:r>
                            <w:r w:rsidR="002055C4">
                              <w:t>Cette</w:t>
                            </w:r>
                            <w:r>
                              <w:t xml:space="preserve"> surconsommation est </w:t>
                            </w:r>
                            <w:r w:rsidR="002055C4">
                              <w:t xml:space="preserve">généralisée </w:t>
                            </w:r>
                            <w:r>
                              <w:t>chez les</w:t>
                            </w:r>
                            <w:r w:rsidR="00F616B9">
                              <w:t xml:space="preserve"> jeunes de 17 ans</w:t>
                            </w:r>
                            <w:r>
                              <w:t>, avec des différences qui concernent aussi les filles</w:t>
                            </w:r>
                            <w:r w:rsidR="002055C4">
                              <w:t xml:space="preserve"> (14 % d’entre elles déclar</w:t>
                            </w:r>
                            <w:r w:rsidR="008610E8">
                              <w:t xml:space="preserve">aient une API </w:t>
                            </w:r>
                            <w:r w:rsidR="008610E8" w:rsidRPr="00C56F77">
                              <w:rPr>
                                <w:i/>
                              </w:rPr>
                              <w:t>vs</w:t>
                            </w:r>
                            <w:r w:rsidR="008610E8">
                              <w:t xml:space="preserve"> 11</w:t>
                            </w:r>
                            <w:r w:rsidR="002055C4">
                              <w:t> % en moyenne)</w:t>
                            </w:r>
                            <w:r>
                              <w:t>.</w:t>
                            </w:r>
                            <w:r w:rsidR="00F616B9">
                              <w:t xml:space="preserve"> </w:t>
                            </w:r>
                            <w:r w:rsidR="002055C4">
                              <w:t xml:space="preserve">La </w:t>
                            </w:r>
                            <w:r w:rsidR="00F616B9">
                              <w:t>mortalité prématurée liée à l’alcool</w:t>
                            </w:r>
                            <w:r w:rsidR="00F616B9"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 w:rsidR="002055C4">
                              <w:t xml:space="preserve">observée en région Nouvelle-Aquitaine est identique à </w:t>
                            </w:r>
                            <w:r w:rsidR="00F616B9">
                              <w:t>la moyenne nationale</w:t>
                            </w:r>
                            <w:r w:rsidR="002055C4">
                              <w:t>, les accidents corporels plus répandus (13,2</w:t>
                            </w:r>
                            <w:r w:rsidR="008610E8">
                              <w:t xml:space="preserve"> pour </w:t>
                            </w:r>
                            <w:r w:rsidR="008610E8" w:rsidRPr="008610E8">
                              <w:t>100 accidents corporels au taux d’alcoolémie connu</w:t>
                            </w:r>
                            <w:r w:rsidR="002055C4">
                              <w:t xml:space="preserve"> </w:t>
                            </w:r>
                            <w:r w:rsidR="002055C4" w:rsidRPr="008610E8">
                              <w:rPr>
                                <w:i/>
                              </w:rPr>
                              <w:t>vs</w:t>
                            </w:r>
                            <w:r w:rsidR="002055C4">
                              <w:t xml:space="preserve"> 11,7</w:t>
                            </w:r>
                            <w:r w:rsidR="008610E8">
                              <w:t xml:space="preserve"> dans la France entière</w:t>
                            </w:r>
                            <w:r w:rsidR="002055C4">
                              <w:t>)</w:t>
                            </w:r>
                            <w:r w:rsidR="00F616B9">
                              <w:t>.</w:t>
                            </w:r>
                          </w:p>
                          <w:p w14:paraId="61FAFACC" w14:textId="499FBF6E" w:rsidR="00F616B9" w:rsidRDefault="008610E8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>Si</w:t>
                            </w:r>
                            <w:r w:rsidR="000B12D3">
                              <w:t>,</w:t>
                            </w:r>
                            <w:r>
                              <w:t xml:space="preserve"> à l’âge adulte, aucune différence ne ressort, l</w:t>
                            </w:r>
                            <w:r w:rsidR="00980430">
                              <w:t>’expérimentation de</w:t>
                            </w:r>
                            <w:r w:rsidR="00F616B9">
                              <w:t xml:space="preserve"> cannabis</w:t>
                            </w:r>
                            <w:r w:rsidR="00980430">
                              <w:t xml:space="preserve"> </w:t>
                            </w:r>
                            <w:r>
                              <w:t>s’avère</w:t>
                            </w:r>
                            <w:r w:rsidR="00980430">
                              <w:t xml:space="preserve"> plus élevée </w:t>
                            </w:r>
                            <w:r>
                              <w:t>parmi les adolescents de 17 ans de Nouvelle-Aquitaine</w:t>
                            </w:r>
                            <w:r w:rsidR="00980430">
                              <w:t xml:space="preserve"> </w:t>
                            </w:r>
                            <w:r>
                              <w:t xml:space="preserve">que dans le reste du territoire métropolitain </w:t>
                            </w:r>
                            <w:r w:rsidR="00980430">
                              <w:t>(</w:t>
                            </w:r>
                            <w:r>
                              <w:t>45</w:t>
                            </w:r>
                            <w:r w:rsidR="00980430">
                              <w:t xml:space="preserve"> % </w:t>
                            </w:r>
                            <w:r w:rsidR="00980430" w:rsidRPr="00C56F77">
                              <w:rPr>
                                <w:i/>
                              </w:rPr>
                              <w:t>vs</w:t>
                            </w:r>
                            <w:r w:rsidR="00980430">
                              <w:t xml:space="preserve"> </w:t>
                            </w:r>
                            <w:r>
                              <w:t>39</w:t>
                            </w:r>
                            <w:r w:rsidR="00980430">
                              <w:t> %)</w:t>
                            </w:r>
                            <w:r w:rsidR="00F616B9">
                              <w:t xml:space="preserve">. </w:t>
                            </w:r>
                            <w:r>
                              <w:t>L</w:t>
                            </w:r>
                            <w:r w:rsidR="00980430">
                              <w:t xml:space="preserve">a différence significative d'usage dans le mois (23 % </w:t>
                            </w:r>
                            <w:r w:rsidR="00980430" w:rsidRPr="00C56F77">
                              <w:rPr>
                                <w:i/>
                              </w:rPr>
                              <w:t>vs</w:t>
                            </w:r>
                            <w:r w:rsidR="00980430">
                              <w:t xml:space="preserve"> 21 %)</w:t>
                            </w:r>
                            <w:r>
                              <w:t xml:space="preserve"> parmi les adolescents</w:t>
                            </w:r>
                            <w:r w:rsidR="00980430">
                              <w:t xml:space="preserve"> est porté</w:t>
                            </w:r>
                            <w:r w:rsidR="00723F2A">
                              <w:t>e</w:t>
                            </w:r>
                            <w:r w:rsidR="00980430">
                              <w:t xml:space="preserve"> par les filles</w:t>
                            </w:r>
                            <w:r w:rsidR="00E80ABE">
                              <w:t>. L</w:t>
                            </w:r>
                            <w:r w:rsidR="00F616B9">
                              <w:t xml:space="preserve">e </w:t>
                            </w:r>
                            <w:r w:rsidR="00E80ABE">
                              <w:t>taux</w:t>
                            </w:r>
                            <w:r w:rsidR="00F616B9">
                              <w:t xml:space="preserve"> d’interpellations </w:t>
                            </w:r>
                            <w:r w:rsidR="00E80ABE">
                              <w:t xml:space="preserve">constaté dans la région 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 w:rsidR="00F616B9"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="00E80ABE">
                              <w:rPr>
                                <w:spacing w:val="-3"/>
                              </w:rPr>
                              <w:t>est</w:t>
                            </w:r>
                            <w:r w:rsidR="00E03AA3">
                              <w:rPr>
                                <w:spacing w:val="-3"/>
                              </w:rPr>
                              <w:t xml:space="preserve"> nettement</w:t>
                            </w:r>
                            <w:r w:rsidR="00E80ABE">
                              <w:rPr>
                                <w:spacing w:val="-3"/>
                              </w:rPr>
                              <w:t xml:space="preserve"> inf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érieur à celui de la France 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>entière</w:t>
                            </w:r>
                            <w:r w:rsidR="00F616B9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74745B18" w14:textId="7DDF80EC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s’agissant des autres produits illicites, </w:t>
                            </w:r>
                            <w:r w:rsidR="00E03AA3">
                              <w:t>cocaïne et amphétamines sont plus souvent expérimentées par les adultes de Nouvelle-Aquitaine. Bien que leurs prévalences demeurent modestes, les</w:t>
                            </w:r>
                            <w:r w:rsidR="00E03AA3" w:rsidRPr="00E03AA3">
                              <w:t xml:space="preserve"> </w:t>
                            </w:r>
                            <w:r w:rsidR="00E03AA3">
                              <w:t xml:space="preserve">jeunes de 17 ans présentent eux aussi des </w:t>
                            </w:r>
                            <w:r>
                              <w:t xml:space="preserve">niveaux d’expérimentation </w:t>
                            </w:r>
                            <w:r w:rsidR="00E03AA3">
                              <w:t>relativement plus importants de stimulants (</w:t>
                            </w:r>
                            <w:r w:rsidR="000B12D3">
                              <w:t>MDMA/</w:t>
                            </w:r>
                            <w:r w:rsidR="00E03AA3">
                              <w:t>ecstasy) ainsi que d’hallucinogènes (champignons, LSD).</w:t>
                            </w:r>
                            <w:r>
                              <w:t xml:space="preserve"> </w:t>
                            </w:r>
                            <w:r w:rsidR="00E03AA3">
                              <w:rPr>
                                <w:spacing w:val="-3"/>
                              </w:rPr>
                              <w:t>Le taux d’accidents mortels avec présence de stupéfiants est inférieur à la moyenne</w:t>
                            </w:r>
                            <w:r w:rsidR="00723F2A">
                              <w:rPr>
                                <w:spacing w:val="-3"/>
                              </w:rPr>
                              <w:t xml:space="preserve"> nationale</w:t>
                            </w:r>
                            <w:r w:rsidR="00E03AA3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2ED792A5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CC1C" id="Zone de texte 2" o:spid="_x0000_s1027" type="#_x0000_t202" style="position:absolute;margin-left:1.15pt;margin-top:51.8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" filled="f" stroked="f">
                <v:textbox>
                  <w:txbxContent>
                    <w:p w14:paraId="79DA2EDD" w14:textId="0C2A30D3" w:rsidR="00F616B9" w:rsidRPr="00AA164D" w:rsidRDefault="00221555" w:rsidP="00F616B9">
                      <w:pPr>
                        <w:ind w:left="851"/>
                        <w:jc w:val="both"/>
                      </w:pPr>
                      <w:r>
                        <w:t>L’expérimentation de tabac en Nouvelle-Aquitaine est le seul indicateur à se démarquer en population adulte (en 2017, 97 </w:t>
                      </w:r>
                      <w:r w:rsidRPr="00AA164D">
                        <w:t xml:space="preserve">% des 18-75 ans </w:t>
                      </w:r>
                      <w:r>
                        <w:t xml:space="preserve">avaient fumé au moins une fois au cours de leur vie, </w:t>
                      </w:r>
                      <w:r w:rsidRPr="00AA164D">
                        <w:t xml:space="preserve">contre </w:t>
                      </w:r>
                      <w:r w:rsidR="008610E8">
                        <w:t>95</w:t>
                      </w:r>
                      <w:r>
                        <w:t> </w:t>
                      </w:r>
                      <w:r w:rsidRPr="00AA164D">
                        <w:t xml:space="preserve">% </w:t>
                      </w:r>
                      <w:r>
                        <w:t>pou</w:t>
                      </w:r>
                      <w:r w:rsidRPr="00AA164D">
                        <w:t>r l’ensemb</w:t>
                      </w:r>
                      <w:r>
                        <w:t xml:space="preserve">le de la France métropolitaine), différence significative </w:t>
                      </w:r>
                      <w:r w:rsidR="000B12D3">
                        <w:t>imputable</w:t>
                      </w:r>
                      <w:r>
                        <w:t xml:space="preserve"> aux femmes. Les jeunes de 17 ans de la région </w:t>
                      </w:r>
                      <w:r w:rsidR="00C56F77">
                        <w:t>ont</w:t>
                      </w:r>
                      <w:r>
                        <w:t xml:space="preserve"> quant à eux des niveaux de tabagisme plus élevés, y compris quotidien (29 % </w:t>
                      </w:r>
                      <w:r w:rsidRPr="00C56F77">
                        <w:rPr>
                          <w:i/>
                        </w:rPr>
                        <w:t>vs</w:t>
                      </w:r>
                      <w:r>
                        <w:t xml:space="preserve"> 25 %)</w:t>
                      </w:r>
                      <w:r w:rsidR="00F616B9" w:rsidRPr="00AA164D">
                        <w:t xml:space="preserve">. </w:t>
                      </w:r>
                      <w:r>
                        <w:t>L</w:t>
                      </w:r>
                      <w:r w:rsidR="00F616B9" w:rsidRPr="00AA164D">
                        <w:t xml:space="preserve">a mortalité liée aux cancers des voies pulmonaires </w:t>
                      </w:r>
                      <w:r>
                        <w:t xml:space="preserve">est supérieure </w:t>
                      </w:r>
                      <w:r w:rsidR="00C56F77">
                        <w:t xml:space="preserve">à </w:t>
                      </w:r>
                      <w:r>
                        <w:t>la moyenne nationale.</w:t>
                      </w:r>
                    </w:p>
                    <w:p w14:paraId="4244BC5C" w14:textId="77777777" w:rsidR="00F616B9" w:rsidRDefault="00221555" w:rsidP="00F616B9">
                      <w:pPr>
                        <w:ind w:left="851"/>
                        <w:jc w:val="both"/>
                      </w:pPr>
                      <w:r>
                        <w:t xml:space="preserve">Les différences significatives observées concernant les usages d’alcool chez les adultes sont portées par les hommes (par exemple, 20 % des hommes déclaraient en 2017 un usage quotidien </w:t>
                      </w:r>
                      <w:r w:rsidRPr="00C56F77">
                        <w:rPr>
                          <w:i/>
                        </w:rPr>
                        <w:t>vs</w:t>
                      </w:r>
                      <w:r>
                        <w:t xml:space="preserve"> 16 %</w:t>
                      </w:r>
                      <w:r w:rsidR="00897AD5">
                        <w:t>)</w:t>
                      </w:r>
                      <w:r>
                        <w:t xml:space="preserve">. </w:t>
                      </w:r>
                      <w:r w:rsidR="002055C4">
                        <w:t>Cette</w:t>
                      </w:r>
                      <w:r>
                        <w:t xml:space="preserve"> surconsommation est </w:t>
                      </w:r>
                      <w:r w:rsidR="002055C4">
                        <w:t xml:space="preserve">généralisée </w:t>
                      </w:r>
                      <w:r>
                        <w:t>chez les</w:t>
                      </w:r>
                      <w:r w:rsidR="00F616B9">
                        <w:t xml:space="preserve"> jeunes de 17 ans</w:t>
                      </w:r>
                      <w:r>
                        <w:t>, avec des différences qui concernent aussi les filles</w:t>
                      </w:r>
                      <w:r w:rsidR="002055C4">
                        <w:t xml:space="preserve"> (14 % d’entre elles déclar</w:t>
                      </w:r>
                      <w:r w:rsidR="008610E8">
                        <w:t xml:space="preserve">aient une API </w:t>
                      </w:r>
                      <w:r w:rsidR="008610E8" w:rsidRPr="00C56F77">
                        <w:rPr>
                          <w:i/>
                        </w:rPr>
                        <w:t>vs</w:t>
                      </w:r>
                      <w:r w:rsidR="008610E8">
                        <w:t xml:space="preserve"> 11</w:t>
                      </w:r>
                      <w:r w:rsidR="002055C4">
                        <w:t> % en moyenne)</w:t>
                      </w:r>
                      <w:r>
                        <w:t>.</w:t>
                      </w:r>
                      <w:r w:rsidR="00F616B9">
                        <w:t xml:space="preserve"> </w:t>
                      </w:r>
                      <w:r w:rsidR="002055C4">
                        <w:t xml:space="preserve">La </w:t>
                      </w:r>
                      <w:r w:rsidR="00F616B9">
                        <w:t>mortalité prématurée liée à l’alcool</w:t>
                      </w:r>
                      <w:r w:rsidR="00F616B9"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 w:rsidR="002055C4">
                        <w:t xml:space="preserve">observée en région Nouvelle-Aquitaine est identique à </w:t>
                      </w:r>
                      <w:r w:rsidR="00F616B9">
                        <w:t>la moyenne nationale</w:t>
                      </w:r>
                      <w:r w:rsidR="002055C4">
                        <w:t>, les accidents corporels plus répandus (13,2</w:t>
                      </w:r>
                      <w:r w:rsidR="008610E8">
                        <w:t xml:space="preserve"> pour </w:t>
                      </w:r>
                      <w:r w:rsidR="008610E8" w:rsidRPr="008610E8">
                        <w:t>100 accidents corporels au taux d’alcoolémie connu</w:t>
                      </w:r>
                      <w:r w:rsidR="002055C4">
                        <w:t xml:space="preserve"> </w:t>
                      </w:r>
                      <w:r w:rsidR="002055C4" w:rsidRPr="008610E8">
                        <w:rPr>
                          <w:i/>
                        </w:rPr>
                        <w:t>vs</w:t>
                      </w:r>
                      <w:r w:rsidR="002055C4">
                        <w:t xml:space="preserve"> 11,7</w:t>
                      </w:r>
                      <w:r w:rsidR="008610E8">
                        <w:t xml:space="preserve"> dans la France entière</w:t>
                      </w:r>
                      <w:r w:rsidR="002055C4">
                        <w:t>)</w:t>
                      </w:r>
                      <w:r w:rsidR="00F616B9">
                        <w:t>.</w:t>
                      </w:r>
                    </w:p>
                    <w:p w14:paraId="61FAFACC" w14:textId="499FBF6E" w:rsidR="00F616B9" w:rsidRDefault="008610E8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>Si</w:t>
                      </w:r>
                      <w:r w:rsidR="000B12D3">
                        <w:t>,</w:t>
                      </w:r>
                      <w:r>
                        <w:t xml:space="preserve"> à l’âge adulte, aucune différence ne ressort, l</w:t>
                      </w:r>
                      <w:r w:rsidR="00980430">
                        <w:t>’expérimentation de</w:t>
                      </w:r>
                      <w:r w:rsidR="00F616B9">
                        <w:t xml:space="preserve"> cannabis</w:t>
                      </w:r>
                      <w:r w:rsidR="00980430">
                        <w:t xml:space="preserve"> </w:t>
                      </w:r>
                      <w:r>
                        <w:t>s’avère</w:t>
                      </w:r>
                      <w:r w:rsidR="00980430">
                        <w:t xml:space="preserve"> plus élevée </w:t>
                      </w:r>
                      <w:r>
                        <w:t>parmi les adolescents de 17 ans de Nouvelle-Aquitaine</w:t>
                      </w:r>
                      <w:r w:rsidR="00980430">
                        <w:t xml:space="preserve"> </w:t>
                      </w:r>
                      <w:r>
                        <w:t xml:space="preserve">que dans le reste du territoire métropolitain </w:t>
                      </w:r>
                      <w:r w:rsidR="00980430">
                        <w:t>(</w:t>
                      </w:r>
                      <w:r>
                        <w:t>45</w:t>
                      </w:r>
                      <w:r w:rsidR="00980430">
                        <w:t xml:space="preserve"> % </w:t>
                      </w:r>
                      <w:r w:rsidR="00980430" w:rsidRPr="00C56F77">
                        <w:rPr>
                          <w:i/>
                        </w:rPr>
                        <w:t>vs</w:t>
                      </w:r>
                      <w:r w:rsidR="00980430">
                        <w:t xml:space="preserve"> </w:t>
                      </w:r>
                      <w:r>
                        <w:t>39</w:t>
                      </w:r>
                      <w:r w:rsidR="00980430">
                        <w:t> %)</w:t>
                      </w:r>
                      <w:r w:rsidR="00F616B9">
                        <w:t xml:space="preserve">. </w:t>
                      </w:r>
                      <w:r>
                        <w:t>L</w:t>
                      </w:r>
                      <w:r w:rsidR="00980430">
                        <w:t xml:space="preserve">a différence significative d'usage dans le mois (23 % </w:t>
                      </w:r>
                      <w:r w:rsidR="00980430" w:rsidRPr="00C56F77">
                        <w:rPr>
                          <w:i/>
                        </w:rPr>
                        <w:t>vs</w:t>
                      </w:r>
                      <w:r w:rsidR="00980430">
                        <w:t xml:space="preserve"> 21 %)</w:t>
                      </w:r>
                      <w:r>
                        <w:t xml:space="preserve"> parmi les adolescents</w:t>
                      </w:r>
                      <w:r w:rsidR="00980430">
                        <w:t xml:space="preserve"> est porté</w:t>
                      </w:r>
                      <w:r w:rsidR="00723F2A">
                        <w:t>e</w:t>
                      </w:r>
                      <w:r w:rsidR="00980430">
                        <w:t xml:space="preserve"> par les filles</w:t>
                      </w:r>
                      <w:r w:rsidR="00E80ABE">
                        <w:t>. L</w:t>
                      </w:r>
                      <w:r w:rsidR="00F616B9">
                        <w:t xml:space="preserve">e </w:t>
                      </w:r>
                      <w:r w:rsidR="00E80ABE">
                        <w:t>taux</w:t>
                      </w:r>
                      <w:r w:rsidR="00F616B9">
                        <w:t xml:space="preserve"> d’interpellations </w:t>
                      </w:r>
                      <w:r w:rsidR="00E80ABE">
                        <w:t xml:space="preserve">constaté dans la région </w:t>
                      </w:r>
                      <w:r w:rsidR="00F616B9" w:rsidRPr="00EA0CBA">
                        <w:rPr>
                          <w:spacing w:val="-3"/>
                        </w:rPr>
                        <w:t>pour infractions à la législ</w:t>
                      </w:r>
                      <w:r w:rsidR="00F616B9"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 w:rsidR="00F616B9">
                        <w:rPr>
                          <w:spacing w:val="-3"/>
                        </w:rPr>
                        <w:t xml:space="preserve">annabis, </w:t>
                      </w:r>
                      <w:r w:rsidR="00E80ABE">
                        <w:rPr>
                          <w:spacing w:val="-3"/>
                        </w:rPr>
                        <w:t>est</w:t>
                      </w:r>
                      <w:r w:rsidR="00E03AA3">
                        <w:rPr>
                          <w:spacing w:val="-3"/>
                        </w:rPr>
                        <w:t xml:space="preserve"> nettement</w:t>
                      </w:r>
                      <w:r w:rsidR="00E80ABE">
                        <w:rPr>
                          <w:spacing w:val="-3"/>
                        </w:rPr>
                        <w:t xml:space="preserve"> inf</w:t>
                      </w:r>
                      <w:r w:rsidR="00F616B9">
                        <w:rPr>
                          <w:spacing w:val="-3"/>
                        </w:rPr>
                        <w:t xml:space="preserve">érieur à celui de la France </w:t>
                      </w:r>
                      <w:r w:rsidR="00F616B9" w:rsidRPr="00EA0CBA">
                        <w:rPr>
                          <w:spacing w:val="-3"/>
                        </w:rPr>
                        <w:t>entière</w:t>
                      </w:r>
                      <w:r w:rsidR="00F616B9">
                        <w:rPr>
                          <w:spacing w:val="-3"/>
                        </w:rPr>
                        <w:t>.</w:t>
                      </w:r>
                    </w:p>
                    <w:p w14:paraId="74745B18" w14:textId="7DDF80EC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s’agissant des autres produits illicites, </w:t>
                      </w:r>
                      <w:r w:rsidR="00E03AA3">
                        <w:t>cocaïne et amphétamines sont plus souvent expérimentées par les adultes de Nouvelle-Aquitaine. Bien que leurs prévalences demeurent modestes, les</w:t>
                      </w:r>
                      <w:r w:rsidR="00E03AA3" w:rsidRPr="00E03AA3">
                        <w:t xml:space="preserve"> </w:t>
                      </w:r>
                      <w:r w:rsidR="00E03AA3">
                        <w:t xml:space="preserve">jeunes de 17 ans présentent eux aussi des </w:t>
                      </w:r>
                      <w:r>
                        <w:t xml:space="preserve">niveaux d’expérimentation </w:t>
                      </w:r>
                      <w:r w:rsidR="00E03AA3">
                        <w:t>relativement plus importants de stimulants (</w:t>
                      </w:r>
                      <w:r w:rsidR="000B12D3">
                        <w:t>MDMA/</w:t>
                      </w:r>
                      <w:r w:rsidR="00E03AA3">
                        <w:t>ecstasy) ainsi que d’hallucinogènes (champignons, LSD).</w:t>
                      </w:r>
                      <w:r>
                        <w:t xml:space="preserve"> </w:t>
                      </w:r>
                      <w:r w:rsidR="00E03AA3">
                        <w:rPr>
                          <w:spacing w:val="-3"/>
                        </w:rPr>
                        <w:t>Le taux d’accidents mortels avec présence de stupéfiants est inférieur à la moyenne</w:t>
                      </w:r>
                      <w:r w:rsidR="00723F2A">
                        <w:rPr>
                          <w:spacing w:val="-3"/>
                        </w:rPr>
                        <w:t xml:space="preserve"> nationale</w:t>
                      </w:r>
                      <w:r w:rsidR="00E03AA3">
                        <w:rPr>
                          <w:spacing w:val="-3"/>
                        </w:rPr>
                        <w:t>.</w:t>
                      </w:r>
                    </w:p>
                    <w:p w14:paraId="2ED792A5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3A09C0">
        <w:t>Nouvelle-Aquitaine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3168"/>
        <w:gridCol w:w="705"/>
        <w:gridCol w:w="705"/>
        <w:gridCol w:w="705"/>
        <w:gridCol w:w="781"/>
        <w:gridCol w:w="781"/>
        <w:gridCol w:w="781"/>
      </w:tblGrid>
      <w:tr w:rsidR="00AB57B2" w:rsidRPr="00450AA9" w14:paraId="78A1B1E1" w14:textId="77777777" w:rsidTr="00215365">
        <w:trPr>
          <w:trHeight w:val="300"/>
        </w:trPr>
        <w:tc>
          <w:tcPr>
            <w:tcW w:w="2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556BD204" w14:textId="77777777" w:rsidR="00AB57B2" w:rsidRPr="00450AA9" w:rsidRDefault="00AB57B2" w:rsidP="00503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464C1A4" w14:textId="77777777" w:rsidR="00AB57B2" w:rsidRPr="00533B1C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N.</w:t>
            </w:r>
            <w:r w:rsidR="003F12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Aquitaine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8657E0E" w14:textId="77777777" w:rsidR="00AB57B2" w:rsidRPr="00533B1C" w:rsidRDefault="00AB57B2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1376EB63" w14:textId="77777777" w:rsidTr="00215365">
        <w:trPr>
          <w:trHeight w:val="540"/>
        </w:trPr>
        <w:tc>
          <w:tcPr>
            <w:tcW w:w="2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6E31F9EC" w14:textId="77777777" w:rsidR="00AB57B2" w:rsidRPr="00450AA9" w:rsidRDefault="00AB57B2" w:rsidP="00503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E4DD63D" w14:textId="77777777" w:rsidR="00AB57B2" w:rsidRPr="00450AA9" w:rsidRDefault="00AB57B2" w:rsidP="00B8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B847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1090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B208D3E" w14:textId="77777777" w:rsidR="00AB57B2" w:rsidRPr="00450AA9" w:rsidRDefault="00AB57B2" w:rsidP="00B8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B847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1394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AD76E60" w14:textId="77777777" w:rsidR="00AB57B2" w:rsidRPr="00450AA9" w:rsidRDefault="00AB57B2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(n=1803)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5B20D1B" w14:textId="77777777" w:rsidR="00AB57B2" w:rsidRPr="00450AA9" w:rsidRDefault="00AB57B2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AAD6914" w14:textId="77777777" w:rsidR="00AB57B2" w:rsidRPr="00450AA9" w:rsidRDefault="00AB57B2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9A4D473" w14:textId="77777777" w:rsidR="00AB57B2" w:rsidRPr="00450AA9" w:rsidRDefault="00AB57B2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503DFA" w:rsidRPr="00450AA9" w14:paraId="406C187A" w14:textId="77777777" w:rsidTr="00215365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3DD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963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E9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99*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81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96*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2DF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97*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344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40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EE7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503DFA" w:rsidRPr="00450AA9" w14:paraId="067A1EE0" w14:textId="77777777" w:rsidTr="0021536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E1E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523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F1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33*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7B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E6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AAF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26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608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503DFA" w:rsidRPr="00450AA9" w14:paraId="6BBE4B28" w14:textId="77777777" w:rsidTr="0021536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332C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D08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DE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20*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85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2A2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B70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8AD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1C1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503DFA" w:rsidRPr="00450AA9" w14:paraId="66B59E3E" w14:textId="77777777" w:rsidTr="00215365">
        <w:trPr>
          <w:trHeight w:val="6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9C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CDF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51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92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CE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0F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49B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83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503DFA" w:rsidRPr="00450AA9" w14:paraId="5070EFE2" w14:textId="77777777" w:rsidTr="00215365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6B0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993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ABD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07F" w14:textId="77777777" w:rsidR="00503DFA" w:rsidRPr="00CB3C2F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74*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DF5B" w14:textId="77777777" w:rsidR="00503DFA" w:rsidRPr="00CB3C2F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78*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6A06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1FD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E6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215365" w:rsidRPr="00450AA9" w14:paraId="3EBE90B4" w14:textId="77777777" w:rsidTr="0021536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9BBA" w14:textId="77777777" w:rsidR="00215365" w:rsidRPr="00450AA9" w:rsidRDefault="00215365" w:rsidP="002153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F441" w14:textId="77777777" w:rsidR="00215365" w:rsidRPr="00450AA9" w:rsidRDefault="00215365" w:rsidP="002153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C5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89A" w14:textId="77777777" w:rsidR="00215365" w:rsidRPr="00503DFA" w:rsidRDefault="00215365" w:rsidP="0021536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67BB" w14:textId="77777777" w:rsidR="00215365" w:rsidRPr="00503DFA" w:rsidRDefault="00215365" w:rsidP="0021536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71B" w14:textId="77777777" w:rsidR="00215365" w:rsidRPr="00503DFA" w:rsidRDefault="00215365" w:rsidP="0021536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D29" w14:textId="77777777" w:rsidR="00215365" w:rsidRPr="00D34329" w:rsidRDefault="00215365" w:rsidP="0021536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C62" w14:textId="77777777" w:rsidR="00215365" w:rsidRPr="00D34329" w:rsidRDefault="00215365" w:rsidP="0021536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0F4" w14:textId="77777777" w:rsidR="00215365" w:rsidRPr="00D34329" w:rsidRDefault="00215365" w:rsidP="0021536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503DFA" w:rsidRPr="00450AA9" w14:paraId="699ED731" w14:textId="77777777" w:rsidTr="0021536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ED8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EC0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C5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E240" w14:textId="77777777" w:rsidR="00503DFA" w:rsidRPr="00503DFA" w:rsidRDefault="00215365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932F" w14:textId="77777777" w:rsidR="00503DFA" w:rsidRPr="00503DFA" w:rsidRDefault="00215365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350F" w14:textId="77777777" w:rsidR="00503DFA" w:rsidRPr="00503DFA" w:rsidRDefault="00215365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691F" w14:textId="77777777" w:rsidR="00503DFA" w:rsidRPr="00D34329" w:rsidRDefault="00215365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C0F2" w14:textId="77777777" w:rsidR="00503DFA" w:rsidRPr="00D34329" w:rsidRDefault="00215365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F954" w14:textId="77777777" w:rsidR="00503DFA" w:rsidRPr="00D34329" w:rsidRDefault="00215365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503DFA" w:rsidRPr="00450AA9" w14:paraId="41C56442" w14:textId="77777777" w:rsidTr="00215365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E2D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2FE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80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A40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41*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B8EF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0F0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867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2DE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503DFA" w:rsidRPr="00450AA9" w14:paraId="19677918" w14:textId="77777777" w:rsidTr="0021536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0800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18A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74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21F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BBF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13*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B2BF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16C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A5C6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503DFA" w:rsidRPr="00450AA9" w14:paraId="35FBF0EB" w14:textId="77777777" w:rsidTr="0021536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513B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128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2BB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D0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F5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050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720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D34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503DFA" w:rsidRPr="00450AA9" w14:paraId="67D47F78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36B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866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B59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544" w14:textId="77777777" w:rsidR="00503DFA" w:rsidRPr="00CB3C2F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8*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E1F" w14:textId="77777777" w:rsidR="00503DFA" w:rsidRPr="00CB3C2F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11*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6518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310C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F58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503DFA" w:rsidRPr="00450AA9" w14:paraId="668C0D50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09E4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DDD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EF8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CD03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F4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5CF9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F1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E19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503DFA" w:rsidRPr="00450AA9" w14:paraId="1944DA31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3CD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DBDD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968F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CDA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A7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8FF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DD6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45C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503DFA" w:rsidRPr="00450AA9" w14:paraId="60B7EC9D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93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A9E7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D93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C1B1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768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AB21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FBC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B76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503DFA" w:rsidRPr="00450AA9" w14:paraId="0FC0F397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3F9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32C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C21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9D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856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320F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61B7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4B0C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503DFA" w:rsidRPr="00450AA9" w14:paraId="26EE0486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99FB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FE1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19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089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D7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B3C2F">
              <w:rPr>
                <w:rFonts w:ascii="Calibri" w:hAnsi="Calibri"/>
                <w:color w:val="FF0000"/>
                <w:sz w:val="14"/>
                <w:szCs w:val="14"/>
              </w:rPr>
              <w:t>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A61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0C4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DC4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503DFA" w:rsidRPr="00450AA9" w14:paraId="5611887A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4A0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6D98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DE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0F4B" w14:textId="77777777" w:rsidR="00503DFA" w:rsidRPr="00503DFA" w:rsidRDefault="00CB3C2F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40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8E76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99B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927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503DFA" w:rsidRPr="00450AA9" w14:paraId="4CB5FD1E" w14:textId="77777777" w:rsidTr="0021536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9B5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05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91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17D" w14:textId="77777777" w:rsidR="00503DFA" w:rsidRPr="00503DFA" w:rsidRDefault="00CB3C2F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251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FE03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68F7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E8F" w14:textId="77777777" w:rsidR="00503DFA" w:rsidRPr="00D34329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7CBC5870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6099BA25" w14:textId="77777777" w:rsidR="008610E8" w:rsidRDefault="008610E8" w:rsidP="008610E8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04870838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4F5EB3">
        <w:rPr>
          <w:rFonts w:ascii="Eurocrat" w:hAnsi="Eurocrat"/>
          <w:color w:val="FF0000"/>
          <w:sz w:val="14"/>
          <w:szCs w:val="14"/>
        </w:rPr>
        <w:t>20</w:t>
      </w:r>
      <w:r w:rsidRPr="000F609D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</w:t>
      </w:r>
      <w:r w:rsidR="00F85A80">
        <w:rPr>
          <w:rFonts w:ascii="Eurocrat" w:hAnsi="Eurocrat"/>
          <w:color w:val="4A4948"/>
          <w:sz w:val="14"/>
          <w:szCs w:val="14"/>
        </w:rPr>
        <w:t>quotidien d’alcool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4F5EB3">
        <w:rPr>
          <w:rFonts w:ascii="Eurocrat" w:hAnsi="Eurocrat"/>
          <w:color w:val="4A4948"/>
          <w:sz w:val="14"/>
          <w:szCs w:val="14"/>
        </w:rPr>
        <w:t xml:space="preserve">des hommes </w:t>
      </w:r>
      <w:r>
        <w:rPr>
          <w:rFonts w:ascii="Eurocrat" w:hAnsi="Eurocrat"/>
          <w:color w:val="4A4948"/>
          <w:sz w:val="14"/>
          <w:szCs w:val="14"/>
        </w:rPr>
        <w:t xml:space="preserve">dans la région est supérieur </w:t>
      </w:r>
      <w:r w:rsidR="001F51BB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4B52F99A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B84702" w:rsidRPr="00A724E9">
        <w:t xml:space="preserve">à </w:t>
      </w:r>
      <w:r w:rsidR="00B84702">
        <w:t>l’âge adulte</w:t>
      </w:r>
      <w:r w:rsidRPr="00A724E9">
        <w:t xml:space="preserve"> dans la région </w:t>
      </w:r>
      <w:r w:rsidR="003A09C0">
        <w:t>Nouvelle-Aquitaine</w:t>
      </w:r>
      <w:r w:rsidRPr="00A724E9">
        <w:t xml:space="preserve"> et en France métropolitaine entre 2005 et 2017 (%)</w:t>
      </w:r>
    </w:p>
    <w:p w14:paraId="493E57B2" w14:textId="77777777" w:rsidR="00AB57B2" w:rsidRDefault="0000265E" w:rsidP="00AB57B2">
      <w:pPr>
        <w:tabs>
          <w:tab w:val="left" w:pos="2459"/>
        </w:tabs>
        <w:rPr>
          <w:b/>
          <w:color w:val="000000" w:themeColor="text1"/>
          <w:sz w:val="18"/>
        </w:rPr>
      </w:pPr>
      <w:bookmarkStart w:id="0" w:name="_GoBack"/>
      <w:r w:rsidRPr="0000265E">
        <w:rPr>
          <w:noProof/>
          <w:lang w:eastAsia="fr-FR"/>
        </w:rPr>
        <w:drawing>
          <wp:inline distT="0" distB="0" distL="0" distR="0" wp14:anchorId="5238D70D" wp14:editId="699EEBFB">
            <wp:extent cx="5591175" cy="275037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12" cy="275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B71DD4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470049DF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3A09C0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Nouvelle-Aquitaine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5CE83737" w14:textId="77777777" w:rsidTr="00503DFA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711ED397" w14:textId="77777777" w:rsidR="00F6482C" w:rsidRPr="00450AA9" w:rsidRDefault="00F6482C" w:rsidP="00503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6A8310E" w14:textId="77777777" w:rsidR="00F6482C" w:rsidRPr="00533B1C" w:rsidRDefault="00F6482C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proofErr w:type="spellStart"/>
            <w:r w:rsidR="00503DF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N.Aquitaine</w:t>
            </w:r>
            <w:proofErr w:type="spellEnd"/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D6EC0D3" w14:textId="77777777" w:rsidR="00F6482C" w:rsidRPr="00533B1C" w:rsidRDefault="00F6482C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07EA673A" w14:textId="77777777" w:rsidTr="00503DFA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539B2DA5" w14:textId="77777777" w:rsidR="00F6482C" w:rsidRPr="00450AA9" w:rsidRDefault="00F6482C" w:rsidP="00503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332E5AB" w14:textId="77777777" w:rsidR="00F6482C" w:rsidRPr="00450AA9" w:rsidRDefault="00F6482C" w:rsidP="00B8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B847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1645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2A1729D" w14:textId="77777777" w:rsidR="00F6482C" w:rsidRPr="00450AA9" w:rsidRDefault="00F6482C" w:rsidP="00B8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</w:t>
            </w:r>
            <w:r w:rsidR="00B847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85)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6B6D24C" w14:textId="77777777" w:rsidR="00F6482C" w:rsidRPr="00450AA9" w:rsidRDefault="00F6482C" w:rsidP="00B84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B847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3330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EAE6F3E" w14:textId="77777777" w:rsidR="00F6482C" w:rsidRPr="00450AA9" w:rsidRDefault="00F6482C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4EEA23A" w14:textId="77777777" w:rsidR="00F6482C" w:rsidRPr="00450AA9" w:rsidRDefault="00F6482C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1D2328F" w14:textId="77777777" w:rsidR="00F6482C" w:rsidRPr="00450AA9" w:rsidRDefault="00F6482C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503DFA" w:rsidRPr="00450AA9" w14:paraId="34463547" w14:textId="77777777" w:rsidTr="00503DFA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64A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3E4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7F5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93*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B95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92*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B35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93*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F32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AD2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2F8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503DFA" w:rsidRPr="00450AA9" w14:paraId="31D61F37" w14:textId="77777777" w:rsidTr="00503DFA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ED3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99C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D25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79*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9FB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72*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C1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76*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ABA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DC6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45C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503DFA" w:rsidRPr="00450AA9" w14:paraId="76B7F4F1" w14:textId="77777777" w:rsidTr="00503DFA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57B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EE6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8C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15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2C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79E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8C4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BCE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503DFA" w:rsidRPr="00450AA9" w14:paraId="0117DD0B" w14:textId="77777777" w:rsidTr="00503DFA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9DB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0A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74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BB0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58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186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2D3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6EB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503DFA" w:rsidRPr="00450AA9" w14:paraId="4DAAE19F" w14:textId="77777777" w:rsidTr="00503DFA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00B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D71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BD4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63*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A4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67*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9BD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65*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C30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B2E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0F5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503DFA" w:rsidRPr="00450AA9" w14:paraId="6FD5B5E1" w14:textId="77777777" w:rsidTr="00503DFA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6C1A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E507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C5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79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E4B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FFA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29*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198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494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CC04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503DFA" w:rsidRPr="00450AA9" w14:paraId="113F148C" w14:textId="77777777" w:rsidTr="00503DFA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5F76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3346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C56F7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C3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521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33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F33F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153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71CA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503DFA" w:rsidRPr="00450AA9" w14:paraId="5632A998" w14:textId="77777777" w:rsidTr="00503DFA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13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A52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A0A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FA1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6D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B531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F88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03B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503DFA" w:rsidRPr="00450AA9" w14:paraId="4054E0B0" w14:textId="77777777" w:rsidTr="00503DFA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14F7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456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1F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A31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E23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515F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5605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D39C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503DFA" w:rsidRPr="00450AA9" w14:paraId="70E57069" w14:textId="77777777" w:rsidTr="00503DFA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91B0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C6E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88E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E9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F50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3C57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BFF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009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503DFA" w:rsidRPr="00450AA9" w14:paraId="18F081E6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F80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5F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39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70F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4DB4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F27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748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F8C4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503DFA" w:rsidRPr="00450AA9" w14:paraId="2E79FAC2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06C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E18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16E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A7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E8F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89EE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6253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586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503DFA" w:rsidRPr="00450AA9" w14:paraId="426679D2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BF98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D8E6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CF9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EA1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931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367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30DB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49D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503DFA" w:rsidRPr="00450AA9" w14:paraId="36E9DD95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E82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D8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16E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FC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218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4C84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5014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6DC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503DFA" w:rsidRPr="00450AA9" w14:paraId="1E1EDA1B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A1D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9455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6D00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6F5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CA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2BF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CD2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06A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503DFA" w:rsidRPr="00450AA9" w14:paraId="31475EDF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F1C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BB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84A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AAB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7F2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65A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A5D9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56CB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503DFA" w:rsidRPr="00450AA9" w14:paraId="3DADADDC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28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D39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A2C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FF000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B5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DEB7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635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4678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1CB3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503DFA" w:rsidRPr="00450AA9" w14:paraId="1B5FB669" w14:textId="77777777" w:rsidTr="00503DFA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88E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BEF" w14:textId="77777777" w:rsidR="00503DFA" w:rsidRPr="00450AA9" w:rsidRDefault="00503DFA" w:rsidP="00503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138D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C849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7DFA" w14:textId="77777777" w:rsidR="00503DFA" w:rsidRPr="00503DFA" w:rsidRDefault="00503DFA" w:rsidP="00503DFA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3DFA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132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FE7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A9B" w14:textId="77777777" w:rsidR="00503DFA" w:rsidRPr="00450AA9" w:rsidRDefault="00503DFA" w:rsidP="00503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41E5956A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1FA1D0FC" w14:textId="77777777" w:rsidR="008610E8" w:rsidRDefault="008610E8" w:rsidP="008610E8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1DDB2658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904192" w:rsidRPr="00904192">
        <w:rPr>
          <w:rFonts w:ascii="Eurocrat" w:hAnsi="Eurocrat"/>
          <w:color w:val="FF0000"/>
          <w:sz w:val="14"/>
          <w:szCs w:val="14"/>
        </w:rPr>
        <w:t>6</w:t>
      </w:r>
      <w:r w:rsidR="00F85A80">
        <w:rPr>
          <w:rFonts w:ascii="Eurocrat" w:hAnsi="Eurocrat"/>
          <w:color w:val="FF0000"/>
          <w:sz w:val="14"/>
          <w:szCs w:val="14"/>
        </w:rPr>
        <w:t>3</w:t>
      </w:r>
      <w:r w:rsidRPr="00904192">
        <w:rPr>
          <w:rFonts w:ascii="Eurocrat" w:hAnsi="Eurocrat"/>
          <w:color w:val="FF000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904192">
        <w:rPr>
          <w:rFonts w:ascii="Eurocrat" w:hAnsi="Eurocrat"/>
          <w:color w:val="4A4948"/>
          <w:sz w:val="14"/>
          <w:szCs w:val="14"/>
        </w:rPr>
        <w:t>e niveau d’</w:t>
      </w:r>
      <w:r>
        <w:rPr>
          <w:rFonts w:ascii="Eurocrat" w:hAnsi="Eurocrat"/>
          <w:color w:val="4A4948"/>
          <w:sz w:val="14"/>
          <w:szCs w:val="14"/>
        </w:rPr>
        <w:t xml:space="preserve">expérimentation de tabac </w:t>
      </w:r>
      <w:r w:rsidR="004F5EB3">
        <w:rPr>
          <w:rFonts w:ascii="Eurocrat" w:hAnsi="Eurocrat"/>
          <w:color w:val="4A4948"/>
          <w:sz w:val="14"/>
          <w:szCs w:val="14"/>
        </w:rPr>
        <w:t xml:space="preserve">des hommes </w:t>
      </w:r>
      <w:r w:rsidR="00904192">
        <w:rPr>
          <w:rFonts w:ascii="Eurocrat" w:hAnsi="Eurocrat"/>
          <w:color w:val="4A4948"/>
          <w:sz w:val="14"/>
          <w:szCs w:val="14"/>
        </w:rPr>
        <w:t>dans la région est 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F51BB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7B5ACCCA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3A09C0">
        <w:t>Nouvelle-Aquitaine</w:t>
      </w:r>
      <w:r w:rsidR="00450AA9" w:rsidRPr="00F616B9">
        <w:t xml:space="preserve"> et en France métropolitaine entre 2005 et 2017 (%)</w:t>
      </w:r>
    </w:p>
    <w:p w14:paraId="656F64E1" w14:textId="77777777" w:rsidR="00EC2B3A" w:rsidRDefault="0000265E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00265E">
        <w:rPr>
          <w:noProof/>
          <w:lang w:eastAsia="fr-FR"/>
        </w:rPr>
        <w:drawing>
          <wp:inline distT="0" distB="0" distL="0" distR="0" wp14:anchorId="10CFE95B" wp14:editId="1338147D">
            <wp:extent cx="5073788" cy="2547938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74" cy="25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038C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3FA0FAF2" w14:textId="77777777" w:rsidR="008C0F6A" w:rsidRDefault="008C0F6A" w:rsidP="008C0F6A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</w:p>
    <w:p w14:paraId="5E1F86CE" w14:textId="50DCBF3A" w:rsidR="008C0F6A" w:rsidRPr="00C8318B" w:rsidRDefault="008C0F6A" w:rsidP="008C0F6A">
      <w:pPr>
        <w:tabs>
          <w:tab w:val="left" w:pos="2459"/>
        </w:tabs>
        <w:jc w:val="both"/>
        <w:rPr>
          <w:rFonts w:eastAsia="Arial Unicode MS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  <w:r w:rsidRPr="00C8318B">
        <w:rPr>
          <w:rFonts w:eastAsia="Arial Unicode MS"/>
        </w:rPr>
        <w:t xml:space="preserve"> </w:t>
      </w:r>
    </w:p>
    <w:p w14:paraId="4B9D867E" w14:textId="7A837655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5972FD52" w14:textId="77777777" w:rsidTr="00AE4C44">
        <w:tc>
          <w:tcPr>
            <w:tcW w:w="2207" w:type="dxa"/>
            <w:shd w:val="clear" w:color="auto" w:fill="D5D5CB"/>
            <w:vAlign w:val="center"/>
          </w:tcPr>
          <w:p w14:paraId="753D6856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4FD89FE8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447B5A14" w14:textId="77777777" w:rsidR="00C41E43" w:rsidRPr="00DC15D8" w:rsidRDefault="00503DFA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Nouvelle-Aquitaine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4B3B8017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44ADCF7E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5AFDE625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503DFA" w:rsidRPr="00DC15D8" w14:paraId="7EFBF5F9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2B6D1180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124525C2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01C6372E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6,1</w:t>
            </w:r>
          </w:p>
        </w:tc>
        <w:tc>
          <w:tcPr>
            <w:tcW w:w="1732" w:type="dxa"/>
            <w:vAlign w:val="center"/>
          </w:tcPr>
          <w:p w14:paraId="2C3F9FED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1FE71421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503DFA" w:rsidRPr="00DC15D8" w14:paraId="301AB62E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2318564F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77B3CA1F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475DF4A8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32" w:type="dxa"/>
            <w:vAlign w:val="center"/>
          </w:tcPr>
          <w:p w14:paraId="7A7FB25C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0FEA71C1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503DFA" w:rsidRPr="00DC15D8" w14:paraId="137BA6EA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0BCBDDFA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70F7C70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1825AC82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13,2</w:t>
            </w:r>
          </w:p>
        </w:tc>
        <w:tc>
          <w:tcPr>
            <w:tcW w:w="1732" w:type="dxa"/>
            <w:vAlign w:val="center"/>
          </w:tcPr>
          <w:p w14:paraId="7857A634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559014D2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503DFA" w:rsidRPr="00DC15D8" w14:paraId="7A2F8402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09BF24B2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04EF714C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70DA1FA9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27,1</w:t>
            </w:r>
          </w:p>
        </w:tc>
        <w:tc>
          <w:tcPr>
            <w:tcW w:w="1732" w:type="dxa"/>
            <w:vAlign w:val="center"/>
          </w:tcPr>
          <w:p w14:paraId="7AFD994A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6DEEB8AC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503DFA" w:rsidRPr="00DC15D8" w14:paraId="23046AB9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0BE845BA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8C7B3EE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504E969D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21,1</w:t>
            </w:r>
          </w:p>
        </w:tc>
        <w:tc>
          <w:tcPr>
            <w:tcW w:w="1732" w:type="dxa"/>
            <w:vAlign w:val="center"/>
          </w:tcPr>
          <w:p w14:paraId="71F4E71D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5B533AD2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503DFA" w:rsidRPr="00DC15D8" w14:paraId="4C2EFD56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7B7F0C47" w14:textId="7EE9D64D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162593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5406EE29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28EB8A2A" w14:textId="73B68C5F" w:rsidR="00503DFA" w:rsidRDefault="00162593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361,8</w:t>
            </w:r>
          </w:p>
        </w:tc>
        <w:tc>
          <w:tcPr>
            <w:tcW w:w="1732" w:type="dxa"/>
            <w:vAlign w:val="center"/>
          </w:tcPr>
          <w:p w14:paraId="6F203CFB" w14:textId="59F651D9" w:rsidR="00503DFA" w:rsidRDefault="00162593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42D04D37" w14:textId="25129144" w:rsidR="00503DFA" w:rsidRDefault="00162593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503DFA" w:rsidRPr="00DC15D8" w14:paraId="6E200476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41B9BB96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0D5E4030" w14:textId="77777777" w:rsidR="00503DFA" w:rsidRPr="00DC15D8" w:rsidRDefault="00503DFA" w:rsidP="00503DFA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3D12AFB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32" w:type="dxa"/>
            <w:vAlign w:val="center"/>
          </w:tcPr>
          <w:p w14:paraId="3A6ACC34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2E28CBD2" w14:textId="77777777" w:rsidR="00503DFA" w:rsidRDefault="00503DFA" w:rsidP="00503D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ED31AF" w:rsidRPr="00DC15D8" w14:paraId="3B311AE9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019DE36E" w14:textId="5D61AB20" w:rsidR="00ED31AF" w:rsidRPr="00DC15D8" w:rsidRDefault="00ED31AF" w:rsidP="00ED31AF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8C0F6A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212AB6FF" w14:textId="0E7A7861" w:rsidR="00ED31AF" w:rsidRPr="00DC15D8" w:rsidRDefault="00ED31AF" w:rsidP="00ED31AF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7EBB2BC7" w14:textId="0B68DDA2" w:rsidR="00ED31AF" w:rsidRDefault="00ED31AF" w:rsidP="00ED31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10,4</w:t>
            </w:r>
          </w:p>
        </w:tc>
        <w:tc>
          <w:tcPr>
            <w:tcW w:w="1732" w:type="dxa"/>
            <w:vAlign w:val="center"/>
          </w:tcPr>
          <w:p w14:paraId="6D8B6026" w14:textId="510B52C3" w:rsidR="00ED31AF" w:rsidRDefault="00ED31AF" w:rsidP="00ED31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16F474CA" w14:textId="3A72E48C" w:rsidR="00ED31AF" w:rsidRDefault="00ED31AF" w:rsidP="00ED31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ED31AF" w:rsidRPr="00DC15D8" w14:paraId="6B61D0F9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294215B7" w14:textId="62F7F6E3" w:rsidR="00ED31AF" w:rsidRPr="00DC15D8" w:rsidRDefault="00ED31AF" w:rsidP="00ED31AF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</w:t>
            </w:r>
            <w:r w:rsidR="0016259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8C0F6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6747DF73" w14:textId="4DA3B603" w:rsidR="00ED31AF" w:rsidRPr="00DC15D8" w:rsidRDefault="00ED31AF" w:rsidP="00ED31AF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4B54340A" w14:textId="53830A07" w:rsidR="00ED31AF" w:rsidRDefault="00162593" w:rsidP="00ED31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27,4</w:t>
            </w:r>
          </w:p>
        </w:tc>
        <w:tc>
          <w:tcPr>
            <w:tcW w:w="1732" w:type="dxa"/>
            <w:vAlign w:val="center"/>
          </w:tcPr>
          <w:p w14:paraId="785D47BC" w14:textId="18811944" w:rsidR="00ED31AF" w:rsidRDefault="00162593" w:rsidP="00ED31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2D95EAEA" w14:textId="72FF92D4" w:rsidR="00ED31AF" w:rsidRDefault="00162593" w:rsidP="00ED31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5616C2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</w:tbl>
    <w:p w14:paraId="26A9E120" w14:textId="77777777" w:rsidR="00E22771" w:rsidRDefault="00E22771" w:rsidP="008361EB">
      <w:pPr>
        <w:pStyle w:val="Sous-titre"/>
        <w:rPr>
          <w:rFonts w:eastAsia="Arial Unicode MS"/>
        </w:rPr>
      </w:pPr>
    </w:p>
    <w:p w14:paraId="5D582684" w14:textId="5DE945C2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ED31AF">
        <w:rPr>
          <w:rFonts w:eastAsia="Arial Unicode MS"/>
        </w:rPr>
        <w:t xml:space="preserve">, </w:t>
      </w:r>
      <w:r w:rsidR="00ED31AF" w:rsidRPr="00C8318B">
        <w:rPr>
          <w:rFonts w:eastAsia="Arial Unicode MS"/>
        </w:rPr>
        <w:t>(</w:t>
      </w:r>
      <w:r w:rsidR="00ED31AF">
        <w:rPr>
          <w:rFonts w:eastAsia="Arial Unicode MS"/>
        </w:rPr>
        <w:t>5</w:t>
      </w:r>
      <w:r w:rsidR="00ED31AF" w:rsidRPr="00C8318B">
        <w:rPr>
          <w:rFonts w:eastAsia="Arial Unicode MS"/>
        </w:rPr>
        <w:t>) DGGN/DGPN/Préfecture de police de Paris, (</w:t>
      </w:r>
      <w:r w:rsidR="00ED31AF">
        <w:rPr>
          <w:rFonts w:eastAsia="Arial Unicode MS"/>
        </w:rPr>
        <w:t>6</w:t>
      </w:r>
      <w:r w:rsidR="00ED31AF" w:rsidRPr="00C8318B">
        <w:rPr>
          <w:rFonts w:eastAsia="Arial Unicode MS"/>
        </w:rPr>
        <w:t>) Etat 4001</w:t>
      </w:r>
    </w:p>
    <w:p w14:paraId="19CA7557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070446DA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7E40C574" w14:textId="77777777" w:rsidR="00ED31AF" w:rsidRPr="00C8318B" w:rsidRDefault="00ED31AF">
      <w:pPr>
        <w:pStyle w:val="Sous-titre"/>
        <w:rPr>
          <w:rFonts w:eastAsia="Arial Unicode MS"/>
        </w:rPr>
      </w:pPr>
    </w:p>
    <w:sectPr w:rsidR="00ED31AF" w:rsidRPr="00C8318B" w:rsidSect="00E22771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76AF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0D0B060A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58C0" w14:textId="43F4575F" w:rsidR="00042106" w:rsidRPr="00AE3AC0" w:rsidRDefault="00E22771" w:rsidP="00DB26C3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333DFD4E" wp14:editId="38474623">
          <wp:extent cx="224790" cy="224790"/>
          <wp:effectExtent l="0" t="0" r="381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04" cy="224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DB26C3" w:rsidRPr="00DB26C3">
      <w:rPr>
        <w:b/>
        <w:color w:val="767171"/>
        <w:sz w:val="20"/>
        <w:szCs w:val="20"/>
      </w:rPr>
      <w:t>Mise à jour : décembre 2021</w:t>
    </w:r>
  </w:p>
  <w:p w14:paraId="16C5B1F7" w14:textId="77777777" w:rsidR="00AB1FE2" w:rsidRDefault="00AB1F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BD60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7AF780CB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0265E"/>
    <w:rsid w:val="00042106"/>
    <w:rsid w:val="000B12D3"/>
    <w:rsid w:val="000F12BC"/>
    <w:rsid w:val="000F59CE"/>
    <w:rsid w:val="000F609D"/>
    <w:rsid w:val="001175CB"/>
    <w:rsid w:val="0012151D"/>
    <w:rsid w:val="00134A9B"/>
    <w:rsid w:val="0014685F"/>
    <w:rsid w:val="00162593"/>
    <w:rsid w:val="001A385F"/>
    <w:rsid w:val="001E2849"/>
    <w:rsid w:val="001F51BB"/>
    <w:rsid w:val="001F7C76"/>
    <w:rsid w:val="002055C4"/>
    <w:rsid w:val="00212A7B"/>
    <w:rsid w:val="00215365"/>
    <w:rsid w:val="00221555"/>
    <w:rsid w:val="00297D29"/>
    <w:rsid w:val="00340BB1"/>
    <w:rsid w:val="00346D5C"/>
    <w:rsid w:val="00357DAB"/>
    <w:rsid w:val="00395489"/>
    <w:rsid w:val="003A09C0"/>
    <w:rsid w:val="003F121C"/>
    <w:rsid w:val="00444F5B"/>
    <w:rsid w:val="00450AA9"/>
    <w:rsid w:val="004F2570"/>
    <w:rsid w:val="004F5EB3"/>
    <w:rsid w:val="00503DFA"/>
    <w:rsid w:val="00533B1C"/>
    <w:rsid w:val="00557DB0"/>
    <w:rsid w:val="005616C2"/>
    <w:rsid w:val="005C7D85"/>
    <w:rsid w:val="005E3085"/>
    <w:rsid w:val="00643EF2"/>
    <w:rsid w:val="006446A1"/>
    <w:rsid w:val="00672F96"/>
    <w:rsid w:val="006E4378"/>
    <w:rsid w:val="00723F2A"/>
    <w:rsid w:val="007F1849"/>
    <w:rsid w:val="008361EB"/>
    <w:rsid w:val="008610E8"/>
    <w:rsid w:val="00867DB9"/>
    <w:rsid w:val="0089402F"/>
    <w:rsid w:val="008948E0"/>
    <w:rsid w:val="00897AD5"/>
    <w:rsid w:val="008C0F6A"/>
    <w:rsid w:val="00904192"/>
    <w:rsid w:val="00980430"/>
    <w:rsid w:val="009C1862"/>
    <w:rsid w:val="009E5BA6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B15545"/>
    <w:rsid w:val="00B66DE2"/>
    <w:rsid w:val="00B84702"/>
    <w:rsid w:val="00C048FD"/>
    <w:rsid w:val="00C1652D"/>
    <w:rsid w:val="00C41E43"/>
    <w:rsid w:val="00C56F77"/>
    <w:rsid w:val="00C8318B"/>
    <w:rsid w:val="00CB02F4"/>
    <w:rsid w:val="00CB3C2F"/>
    <w:rsid w:val="00CB5416"/>
    <w:rsid w:val="00D34329"/>
    <w:rsid w:val="00D34C73"/>
    <w:rsid w:val="00DB26C3"/>
    <w:rsid w:val="00DC15D8"/>
    <w:rsid w:val="00DD15FA"/>
    <w:rsid w:val="00E03AA3"/>
    <w:rsid w:val="00E22771"/>
    <w:rsid w:val="00E51BFD"/>
    <w:rsid w:val="00E80ABE"/>
    <w:rsid w:val="00E8670F"/>
    <w:rsid w:val="00EC2B3A"/>
    <w:rsid w:val="00ED31AF"/>
    <w:rsid w:val="00EE77EF"/>
    <w:rsid w:val="00F21E1B"/>
    <w:rsid w:val="00F4642A"/>
    <w:rsid w:val="00F616B9"/>
    <w:rsid w:val="00F6482C"/>
    <w:rsid w:val="00F85A80"/>
    <w:rsid w:val="00FD415B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F51BDC7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0B4A-6B63-4475-97DE-285EB685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18</cp:revision>
  <cp:lastPrinted>2019-12-10T15:48:00Z</cp:lastPrinted>
  <dcterms:created xsi:type="dcterms:W3CDTF">2019-12-18T16:02:00Z</dcterms:created>
  <dcterms:modified xsi:type="dcterms:W3CDTF">2021-12-19T17:11:00Z</dcterms:modified>
</cp:coreProperties>
</file>