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6CC09" w14:textId="667A38B2" w:rsidR="00194A55" w:rsidRDefault="00E05C81" w:rsidP="00194A55">
      <w:pPr>
        <w:ind w:left="142"/>
        <w:jc w:val="right"/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5D38954C" wp14:editId="1D18EFEC">
            <wp:extent cx="6188710" cy="188404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4BBBD" w14:textId="0C4E5FBF" w:rsidR="00F616B9" w:rsidRDefault="00F616B9" w:rsidP="005C7D85">
      <w:pPr>
        <w:ind w:left="142"/>
      </w:pPr>
    </w:p>
    <w:p w14:paraId="1A02F86F" w14:textId="77777777" w:rsidR="00AB57B2" w:rsidRPr="00AB57B2" w:rsidRDefault="00815D95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1AA89" wp14:editId="212EA9C0">
                <wp:simplePos x="0" y="0"/>
                <wp:positionH relativeFrom="column">
                  <wp:posOffset>149777</wp:posOffset>
                </wp:positionH>
                <wp:positionV relativeFrom="paragraph">
                  <wp:posOffset>732514</wp:posOffset>
                </wp:positionV>
                <wp:extent cx="418454" cy="3880236"/>
                <wp:effectExtent l="0" t="0" r="127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54" cy="3880236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8082C" w14:textId="77777777" w:rsidR="00F616B9" w:rsidRPr="008361EB" w:rsidRDefault="008361EB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91AA8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.8pt;margin-top:57.7pt;width:32.95pt;height:30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" fillcolor="#d5d5cb" stroked="f" strokeweight=".5pt">
                <v:fill opacity="54998f"/>
                <v:textbox style="layout-flow:vertical;mso-layout-flow-alt:bottom-to-top" inset=",1mm">
                  <w:txbxContent>
                    <w:p w14:paraId="3688082C" w14:textId="77777777" w:rsidR="00F616B9" w:rsidRPr="008361EB" w:rsidRDefault="008361EB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89402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5C68E2" wp14:editId="583080FD">
                <wp:simplePos x="0" y="0"/>
                <wp:positionH relativeFrom="margin">
                  <wp:posOffset>14605</wp:posOffset>
                </wp:positionH>
                <wp:positionV relativeFrom="paragraph">
                  <wp:posOffset>659765</wp:posOffset>
                </wp:positionV>
                <wp:extent cx="5968365" cy="561530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61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B79B0" w14:textId="77777777" w:rsidR="00605E0B" w:rsidRPr="00AA164D" w:rsidRDefault="00605E0B" w:rsidP="00605E0B">
                            <w:pPr>
                              <w:ind w:left="851"/>
                              <w:jc w:val="both"/>
                            </w:pPr>
                            <w:r>
                              <w:t xml:space="preserve">Contrairement à la population adulte, dont la consommation de tabac </w:t>
                            </w:r>
                            <w:r w:rsidR="00BC44DE">
                              <w:t xml:space="preserve">s’avère en retrait (23 % </w:t>
                            </w:r>
                            <w:r w:rsidR="00BA4D7D">
                              <w:t>d’usagers quotidiens contre 27</w:t>
                            </w:r>
                            <w:r w:rsidR="00BC44DE">
                              <w:t> % au niveau national)</w:t>
                            </w:r>
                            <w:r>
                              <w:t>,</w:t>
                            </w:r>
                            <w:r w:rsidRPr="00AA164D">
                              <w:t xml:space="preserve"> </w:t>
                            </w:r>
                            <w:r>
                              <w:t xml:space="preserve">les jeunes </w:t>
                            </w:r>
                            <w:r w:rsidR="00BC44DE">
                              <w:t>de la région Pays-de-la-Loire</w:t>
                            </w:r>
                            <w:r>
                              <w:t xml:space="preserve"> </w:t>
                            </w:r>
                            <w:r w:rsidR="0038195A">
                              <w:t>ont</w:t>
                            </w:r>
                            <w:r>
                              <w:t xml:space="preserve"> </w:t>
                            </w:r>
                            <w:r w:rsidR="00BC44DE">
                              <w:t>un niveau d’</w:t>
                            </w:r>
                            <w:r>
                              <w:t xml:space="preserve">expérimentation </w:t>
                            </w:r>
                            <w:r w:rsidR="00BC44DE">
                              <w:t xml:space="preserve">supérieur à la moyenne métropolitaine (67 % </w:t>
                            </w:r>
                            <w:r w:rsidR="00081188" w:rsidRPr="00BA4D7D">
                              <w:rPr>
                                <w:i/>
                              </w:rPr>
                              <w:t xml:space="preserve">vs </w:t>
                            </w:r>
                            <w:r w:rsidR="00081188">
                              <w:t>59</w:t>
                            </w:r>
                            <w:r w:rsidR="00BA4D7D">
                              <w:t> </w:t>
                            </w:r>
                            <w:r w:rsidR="00081188">
                              <w:t xml:space="preserve">%). </w:t>
                            </w:r>
                            <w:r>
                              <w:t>L</w:t>
                            </w:r>
                            <w:r w:rsidRPr="00AA164D">
                              <w:t xml:space="preserve">a mortalité liée aux cancers des voies pulmonaires </w:t>
                            </w:r>
                            <w:r>
                              <w:t xml:space="preserve">demeure </w:t>
                            </w:r>
                            <w:r w:rsidR="00081188">
                              <w:t>dans la moyenne nationale</w:t>
                            </w:r>
                            <w:r>
                              <w:t>.</w:t>
                            </w:r>
                          </w:p>
                          <w:p w14:paraId="323814B4" w14:textId="2B4DFEAD" w:rsidR="00605E0B" w:rsidRDefault="00605E0B" w:rsidP="00605E0B">
                            <w:pPr>
                              <w:ind w:left="851"/>
                              <w:jc w:val="both"/>
                            </w:pPr>
                            <w:r>
                              <w:t xml:space="preserve">S’agissant de l’alcool, </w:t>
                            </w:r>
                            <w:r w:rsidR="00995629">
                              <w:t>si les adultes se distinguent uniquement par un niveau d’expérimentation au-dessus de la moyenne</w:t>
                            </w:r>
                            <w:r w:rsidR="0038195A">
                              <w:t xml:space="preserve"> nationale</w:t>
                            </w:r>
                            <w:r w:rsidR="00995629">
                              <w:t xml:space="preserve">, </w:t>
                            </w:r>
                            <w:r w:rsidR="00081188">
                              <w:t xml:space="preserve">les </w:t>
                            </w:r>
                            <w:r>
                              <w:t xml:space="preserve">jeunes </w:t>
                            </w:r>
                            <w:r w:rsidR="00BA4D7D">
                              <w:t xml:space="preserve">de 17 ans </w:t>
                            </w:r>
                            <w:r w:rsidR="00081188">
                              <w:t>de la région Pays-de-la-Loire</w:t>
                            </w:r>
                            <w:r>
                              <w:t xml:space="preserve"> présentent des expé</w:t>
                            </w:r>
                            <w:r w:rsidR="00081188">
                              <w:t xml:space="preserve">rimentations, usages d’alcool et </w:t>
                            </w:r>
                            <w:r w:rsidR="00334B7A">
                              <w:t>niveaux d’</w:t>
                            </w:r>
                            <w:r w:rsidR="00081188">
                              <w:t>alcoolisation ponctuelle importante</w:t>
                            </w:r>
                            <w:r w:rsidR="00995629">
                              <w:t xml:space="preserve"> constamment plus élevés</w:t>
                            </w:r>
                            <w:r>
                              <w:t xml:space="preserve">. Dans ce contexte, </w:t>
                            </w:r>
                            <w:r w:rsidR="00995629">
                              <w:t>les</w:t>
                            </w:r>
                            <w:r>
                              <w:t xml:space="preserve"> indicateurs de mortalité liés à l’alcool sont supérieurs à la moyenne nationale.</w:t>
                            </w:r>
                          </w:p>
                          <w:p w14:paraId="2C7F06F9" w14:textId="3991A4AE" w:rsidR="00605E0B" w:rsidRDefault="00995629" w:rsidP="00605E0B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>La consommation de</w:t>
                            </w:r>
                            <w:r w:rsidR="00605E0B">
                              <w:t xml:space="preserve"> cannabis </w:t>
                            </w:r>
                            <w:r>
                              <w:t xml:space="preserve">des adultes de </w:t>
                            </w:r>
                            <w:r w:rsidR="0038195A">
                              <w:t xml:space="preserve">la région </w:t>
                            </w:r>
                            <w:r>
                              <w:t xml:space="preserve">Pays-de-la-Loire </w:t>
                            </w:r>
                            <w:r w:rsidR="00605E0B">
                              <w:t xml:space="preserve">s’avère </w:t>
                            </w:r>
                            <w:r>
                              <w:t xml:space="preserve">en retrait par rapport aux autres </w:t>
                            </w:r>
                            <w:r w:rsidR="00605E0B">
                              <w:t>(4</w:t>
                            </w:r>
                            <w:r>
                              <w:t>1</w:t>
                            </w:r>
                            <w:r w:rsidR="00BA4D7D">
                              <w:t xml:space="preserve"> % </w:t>
                            </w:r>
                            <w:r w:rsidR="00BA4D7D" w:rsidRPr="007E1176">
                              <w:rPr>
                                <w:i/>
                              </w:rPr>
                              <w:t>vs</w:t>
                            </w:r>
                            <w:r w:rsidR="00BA4D7D">
                              <w:t xml:space="preserve"> 45</w:t>
                            </w:r>
                            <w:r w:rsidR="00605E0B">
                              <w:t> %</w:t>
                            </w:r>
                            <w:r>
                              <w:t xml:space="preserve"> pour</w:t>
                            </w:r>
                            <w:r w:rsidR="00BA4D7D">
                              <w:t xml:space="preserve"> l’expérimentation et 2 % </w:t>
                            </w:r>
                            <w:r w:rsidR="00BA4D7D" w:rsidRPr="007E1176">
                              <w:rPr>
                                <w:i/>
                              </w:rPr>
                              <w:t>vs</w:t>
                            </w:r>
                            <w:r w:rsidR="00BA4D7D">
                              <w:t xml:space="preserve"> 4</w:t>
                            </w:r>
                            <w:r>
                              <w:t> % pour l’usage régulier</w:t>
                            </w:r>
                            <w:r w:rsidR="00605E0B">
                              <w:t xml:space="preserve">). </w:t>
                            </w:r>
                            <w:r>
                              <w:t>A contrario</w:t>
                            </w:r>
                            <w:r w:rsidR="007E1176">
                              <w:t>,</w:t>
                            </w:r>
                            <w:r>
                              <w:t xml:space="preserve"> les jeunes garçons </w:t>
                            </w:r>
                            <w:r w:rsidR="00334B7A">
                              <w:t>affichent</w:t>
                            </w:r>
                            <w:r w:rsidR="003F5F13">
                              <w:t xml:space="preserve"> des niveaux d’expérimentation et d’usage dans </w:t>
                            </w:r>
                            <w:proofErr w:type="gramStart"/>
                            <w:r w:rsidR="003F5F13">
                              <w:t>le mois supérieurs</w:t>
                            </w:r>
                            <w:proofErr w:type="gramEnd"/>
                            <w:r w:rsidR="003F5F13">
                              <w:t xml:space="preserve"> à </w:t>
                            </w:r>
                            <w:r w:rsidR="00334B7A">
                              <w:t xml:space="preserve">ceux de </w:t>
                            </w:r>
                            <w:r w:rsidR="003F5F13">
                              <w:t>leurs homologues des autres régions.</w:t>
                            </w:r>
                            <w:r w:rsidR="00605E0B">
                              <w:t xml:space="preserve"> </w:t>
                            </w:r>
                            <w:r w:rsidR="000A0BEB">
                              <w:t>Les</w:t>
                            </w:r>
                            <w:r w:rsidR="00605E0B">
                              <w:t xml:space="preserve"> interpellations </w:t>
                            </w:r>
                            <w:r w:rsidR="00605E0B" w:rsidRPr="00EA0CBA">
                              <w:rPr>
                                <w:spacing w:val="-3"/>
                              </w:rPr>
                              <w:t>pour infractions à la législ</w:t>
                            </w:r>
                            <w:r w:rsidR="000A0BEB">
                              <w:rPr>
                                <w:spacing w:val="-3"/>
                              </w:rPr>
                              <w:t>ation sur les stupéfiants (ILS) sont peu fréquentes comparativement aux autres régions</w:t>
                            </w:r>
                            <w:r w:rsidR="00605E0B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203B402C" w14:textId="77777777" w:rsidR="00F616B9" w:rsidRDefault="00605E0B" w:rsidP="00605E0B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Enfin, les adultes de la région </w:t>
                            </w:r>
                            <w:r w:rsidR="000A0BEB">
                              <w:t>Pays-de-la-Loire</w:t>
                            </w:r>
                            <w:r>
                              <w:t xml:space="preserve"> présentent des niveaux </w:t>
                            </w:r>
                            <w:r w:rsidR="000A0BEB">
                              <w:t>inférieurs</w:t>
                            </w:r>
                            <w:r>
                              <w:t xml:space="preserve"> d’expérimentation d’autres produits illicites comparés aux autres régions (</w:t>
                            </w:r>
                            <w:r w:rsidR="000A0BEB">
                              <w:t>cocaïne, LSD, amphétamines</w:t>
                            </w:r>
                            <w:r>
                              <w:t xml:space="preserve">, crack). </w:t>
                            </w:r>
                            <w:r w:rsidR="000A0BEB">
                              <w:t>L</w:t>
                            </w:r>
                            <w:r>
                              <w:t xml:space="preserve">es jeunes de 17 ans </w:t>
                            </w:r>
                            <w:r w:rsidR="000A0BEB">
                              <w:t xml:space="preserve">se situent quant à eux dans la moyenne nationale </w:t>
                            </w:r>
                            <w:r>
                              <w:t xml:space="preserve">pour </w:t>
                            </w:r>
                            <w:r w:rsidR="000A0BEB">
                              <w:t>l’ensemble</w:t>
                            </w:r>
                            <w:r w:rsidR="00815D95">
                              <w:t xml:space="preserve"> des </w:t>
                            </w:r>
                            <w:r w:rsidR="0038195A">
                              <w:t xml:space="preserve">consommations de </w:t>
                            </w:r>
                            <w:r w:rsidR="00815D95">
                              <w:t>produits</w:t>
                            </w:r>
                            <w:r>
                              <w:t xml:space="preserve">. </w:t>
                            </w:r>
                            <w:r w:rsidR="00815D95">
                              <w:t>La</w:t>
                            </w:r>
                            <w:r w:rsidR="00815D9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mortalité </w:t>
                            </w:r>
                            <w:r w:rsidR="0038195A">
                              <w:rPr>
                                <w:spacing w:val="-3"/>
                              </w:rPr>
                              <w:t>due aux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 accidents de la route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815D95">
                              <w:rPr>
                                <w:spacing w:val="-3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38195A">
                              <w:rPr>
                                <w:spacing w:val="-3"/>
                              </w:rPr>
                              <w:t>aux</w:t>
                            </w:r>
                            <w:r>
                              <w:rPr>
                                <w:spacing w:val="-3"/>
                              </w:rPr>
                              <w:t xml:space="preserve"> surdoses</w:t>
                            </w:r>
                            <w:r w:rsidR="00815D95">
                              <w:rPr>
                                <w:spacing w:val="-3"/>
                              </w:rPr>
                              <w:t xml:space="preserve"> </w:t>
                            </w:r>
                            <w:r w:rsidR="0038195A">
                              <w:rPr>
                                <w:spacing w:val="-3"/>
                              </w:rPr>
                              <w:t xml:space="preserve">liés </w:t>
                            </w:r>
                            <w:r w:rsidR="0056792A">
                              <w:rPr>
                                <w:spacing w:val="-3"/>
                              </w:rPr>
                              <w:t>à l’usage de</w:t>
                            </w:r>
                            <w:r w:rsidR="0038195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38195A" w:rsidRPr="0085614A">
                              <w:rPr>
                                <w:spacing w:val="-3"/>
                              </w:rPr>
                              <w:t>drogues</w:t>
                            </w:r>
                            <w:r w:rsidR="0038195A">
                              <w:rPr>
                                <w:spacing w:val="-3"/>
                              </w:rPr>
                              <w:t xml:space="preserve"> illicites </w:t>
                            </w:r>
                            <w:r w:rsidR="00815D95">
                              <w:rPr>
                                <w:spacing w:val="-3"/>
                              </w:rPr>
                              <w:t>s’avère en retrait dans la région</w:t>
                            </w:r>
                            <w:r>
                              <w:rPr>
                                <w:spacing w:val="-3"/>
                              </w:rPr>
                              <w:t xml:space="preserve">. </w:t>
                            </w:r>
                          </w:p>
                          <w:p w14:paraId="1C1996ED" w14:textId="77777777" w:rsidR="00F616B9" w:rsidRDefault="00F61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5C68E2" id="Zone de texte 2" o:spid="_x0000_s1027" type="#_x0000_t202" style="position:absolute;margin-left:1.15pt;margin-top:51.95pt;width:469.95pt;height:4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" filled="f" stroked="f">
                <v:textbox>
                  <w:txbxContent>
                    <w:p w14:paraId="0BBB79B0" w14:textId="77777777" w:rsidR="00605E0B" w:rsidRPr="00AA164D" w:rsidRDefault="00605E0B" w:rsidP="00605E0B">
                      <w:pPr>
                        <w:ind w:left="851"/>
                        <w:jc w:val="both"/>
                      </w:pPr>
                      <w:r>
                        <w:t xml:space="preserve">Contrairement à la population adulte, dont la consommation de tabac </w:t>
                      </w:r>
                      <w:r w:rsidR="00BC44DE">
                        <w:t xml:space="preserve">s’avère en retrait (23 % </w:t>
                      </w:r>
                      <w:r w:rsidR="00BA4D7D">
                        <w:t>d’usagers quotidiens contre 27</w:t>
                      </w:r>
                      <w:r w:rsidR="00BC44DE">
                        <w:t> % au niveau national)</w:t>
                      </w:r>
                      <w:r>
                        <w:t>,</w:t>
                      </w:r>
                      <w:r w:rsidRPr="00AA164D">
                        <w:t xml:space="preserve"> </w:t>
                      </w:r>
                      <w:r>
                        <w:t xml:space="preserve">les jeunes </w:t>
                      </w:r>
                      <w:r w:rsidR="00BC44DE">
                        <w:t>de la région Pays-de-la-Loire</w:t>
                      </w:r>
                      <w:r>
                        <w:t xml:space="preserve"> </w:t>
                      </w:r>
                      <w:r w:rsidR="0038195A">
                        <w:t>ont</w:t>
                      </w:r>
                      <w:r>
                        <w:t xml:space="preserve"> </w:t>
                      </w:r>
                      <w:r w:rsidR="00BC44DE">
                        <w:t>un niveau d’</w:t>
                      </w:r>
                      <w:r>
                        <w:t xml:space="preserve">expérimentation </w:t>
                      </w:r>
                      <w:r w:rsidR="00BC44DE">
                        <w:t xml:space="preserve">supérieur à la moyenne métropolitaine (67 % </w:t>
                      </w:r>
                      <w:r w:rsidR="00081188" w:rsidRPr="00BA4D7D">
                        <w:rPr>
                          <w:i/>
                        </w:rPr>
                        <w:t xml:space="preserve">vs </w:t>
                      </w:r>
                      <w:r w:rsidR="00081188">
                        <w:t>59</w:t>
                      </w:r>
                      <w:r w:rsidR="00BA4D7D">
                        <w:t> </w:t>
                      </w:r>
                      <w:r w:rsidR="00081188">
                        <w:t xml:space="preserve">%). </w:t>
                      </w:r>
                      <w:r>
                        <w:t>L</w:t>
                      </w:r>
                      <w:r w:rsidRPr="00AA164D">
                        <w:t xml:space="preserve">a mortalité liée aux cancers des voies pulmonaires </w:t>
                      </w:r>
                      <w:r>
                        <w:t xml:space="preserve">demeure </w:t>
                      </w:r>
                      <w:r w:rsidR="00081188">
                        <w:t>dans la moyenne nationale</w:t>
                      </w:r>
                      <w:r>
                        <w:t>.</w:t>
                      </w:r>
                    </w:p>
                    <w:p w14:paraId="323814B4" w14:textId="2B4DFEAD" w:rsidR="00605E0B" w:rsidRDefault="00605E0B" w:rsidP="00605E0B">
                      <w:pPr>
                        <w:ind w:left="851"/>
                        <w:jc w:val="both"/>
                      </w:pPr>
                      <w:r>
                        <w:t xml:space="preserve">S’agissant de l’alcool, </w:t>
                      </w:r>
                      <w:r w:rsidR="00995629">
                        <w:t>si les adultes se distinguent uniquement par un niveau d’expérimentation au-dessus de la moyenne</w:t>
                      </w:r>
                      <w:r w:rsidR="0038195A">
                        <w:t xml:space="preserve"> nationale</w:t>
                      </w:r>
                      <w:r w:rsidR="00995629">
                        <w:t xml:space="preserve">, </w:t>
                      </w:r>
                      <w:r w:rsidR="00081188">
                        <w:t xml:space="preserve">les </w:t>
                      </w:r>
                      <w:r>
                        <w:t xml:space="preserve">jeunes </w:t>
                      </w:r>
                      <w:r w:rsidR="00BA4D7D">
                        <w:t xml:space="preserve">de 17 ans </w:t>
                      </w:r>
                      <w:r w:rsidR="00081188">
                        <w:t>de la région Pays-de-la-Loire</w:t>
                      </w:r>
                      <w:r>
                        <w:t xml:space="preserve"> présentent des expé</w:t>
                      </w:r>
                      <w:r w:rsidR="00081188">
                        <w:t xml:space="preserve">rimentations, usages d’alcool et </w:t>
                      </w:r>
                      <w:r w:rsidR="00334B7A">
                        <w:t>niveaux d’</w:t>
                      </w:r>
                      <w:r w:rsidR="00081188">
                        <w:t>alcoolisation ponctuelle importante</w:t>
                      </w:r>
                      <w:r w:rsidR="00995629">
                        <w:t xml:space="preserve"> constamment plus élevés</w:t>
                      </w:r>
                      <w:r>
                        <w:t xml:space="preserve">. Dans ce contexte, </w:t>
                      </w:r>
                      <w:r w:rsidR="00995629">
                        <w:t>les</w:t>
                      </w:r>
                      <w:r>
                        <w:t xml:space="preserve"> indicateurs de mortalité liés à l’alcool sont supérieurs à la moyenne nationale.</w:t>
                      </w:r>
                    </w:p>
                    <w:p w14:paraId="2C7F06F9" w14:textId="3991A4AE" w:rsidR="00605E0B" w:rsidRDefault="00995629" w:rsidP="00605E0B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>La consommation de</w:t>
                      </w:r>
                      <w:r w:rsidR="00605E0B">
                        <w:t xml:space="preserve"> cannabis </w:t>
                      </w:r>
                      <w:r>
                        <w:t xml:space="preserve">des adultes de </w:t>
                      </w:r>
                      <w:r w:rsidR="0038195A">
                        <w:t xml:space="preserve">la région </w:t>
                      </w:r>
                      <w:r>
                        <w:t xml:space="preserve">Pays-de-la-Loire </w:t>
                      </w:r>
                      <w:r w:rsidR="00605E0B">
                        <w:t xml:space="preserve">s’avère </w:t>
                      </w:r>
                      <w:r>
                        <w:t xml:space="preserve">en retrait par rapport aux autres </w:t>
                      </w:r>
                      <w:r w:rsidR="00605E0B">
                        <w:t>(4</w:t>
                      </w:r>
                      <w:r>
                        <w:t>1</w:t>
                      </w:r>
                      <w:r w:rsidR="00BA4D7D">
                        <w:t xml:space="preserve"> % </w:t>
                      </w:r>
                      <w:r w:rsidR="00BA4D7D" w:rsidRPr="007E1176">
                        <w:rPr>
                          <w:i/>
                        </w:rPr>
                        <w:t>vs</w:t>
                      </w:r>
                      <w:r w:rsidR="00BA4D7D">
                        <w:t xml:space="preserve"> 45</w:t>
                      </w:r>
                      <w:r w:rsidR="00605E0B">
                        <w:t> %</w:t>
                      </w:r>
                      <w:r>
                        <w:t xml:space="preserve"> pour</w:t>
                      </w:r>
                      <w:r w:rsidR="00BA4D7D">
                        <w:t xml:space="preserve"> l’expérimentation et 2 % </w:t>
                      </w:r>
                      <w:r w:rsidR="00BA4D7D" w:rsidRPr="007E1176">
                        <w:rPr>
                          <w:i/>
                        </w:rPr>
                        <w:t>vs</w:t>
                      </w:r>
                      <w:r w:rsidR="00BA4D7D">
                        <w:t xml:space="preserve"> 4</w:t>
                      </w:r>
                      <w:r>
                        <w:t> % pour l’usage régulier</w:t>
                      </w:r>
                      <w:r w:rsidR="00605E0B">
                        <w:t xml:space="preserve">). </w:t>
                      </w:r>
                      <w:r>
                        <w:t>A contrario</w:t>
                      </w:r>
                      <w:r w:rsidR="007E1176">
                        <w:t>,</w:t>
                      </w:r>
                      <w:r>
                        <w:t xml:space="preserve"> les jeunes garçons </w:t>
                      </w:r>
                      <w:r w:rsidR="00334B7A">
                        <w:t>affichent</w:t>
                      </w:r>
                      <w:r w:rsidR="003F5F13">
                        <w:t xml:space="preserve"> des niveaux d’expérimentation et d’usage dans </w:t>
                      </w:r>
                      <w:proofErr w:type="gramStart"/>
                      <w:r w:rsidR="003F5F13">
                        <w:t>le mois supérieurs</w:t>
                      </w:r>
                      <w:proofErr w:type="gramEnd"/>
                      <w:r w:rsidR="003F5F13">
                        <w:t xml:space="preserve"> à </w:t>
                      </w:r>
                      <w:r w:rsidR="00334B7A">
                        <w:t xml:space="preserve">ceux de </w:t>
                      </w:r>
                      <w:r w:rsidR="003F5F13">
                        <w:t>leurs homologues des autres régions.</w:t>
                      </w:r>
                      <w:r w:rsidR="00605E0B">
                        <w:t xml:space="preserve"> </w:t>
                      </w:r>
                      <w:r w:rsidR="000A0BEB">
                        <w:t>Les</w:t>
                      </w:r>
                      <w:r w:rsidR="00605E0B">
                        <w:t xml:space="preserve"> interpellations </w:t>
                      </w:r>
                      <w:r w:rsidR="00605E0B" w:rsidRPr="00EA0CBA">
                        <w:rPr>
                          <w:spacing w:val="-3"/>
                        </w:rPr>
                        <w:t>pour infractions à la législ</w:t>
                      </w:r>
                      <w:r w:rsidR="000A0BEB">
                        <w:rPr>
                          <w:spacing w:val="-3"/>
                        </w:rPr>
                        <w:t>ation sur les stupéfiants (ILS) sont peu fréquentes comparativement aux autres régions</w:t>
                      </w:r>
                      <w:r w:rsidR="00605E0B">
                        <w:rPr>
                          <w:spacing w:val="-3"/>
                        </w:rPr>
                        <w:t>.</w:t>
                      </w:r>
                    </w:p>
                    <w:p w14:paraId="203B402C" w14:textId="77777777" w:rsidR="00F616B9" w:rsidRDefault="00605E0B" w:rsidP="00605E0B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Enfin, les adultes de la région </w:t>
                      </w:r>
                      <w:r w:rsidR="000A0BEB">
                        <w:t>Pays-de-la-Loire</w:t>
                      </w:r>
                      <w:r>
                        <w:t xml:space="preserve"> présentent des niveaux </w:t>
                      </w:r>
                      <w:r w:rsidR="000A0BEB">
                        <w:t>inférieurs</w:t>
                      </w:r>
                      <w:r>
                        <w:t xml:space="preserve"> d’expérimentation d’autres produits illicites comparés aux autres régions (</w:t>
                      </w:r>
                      <w:r w:rsidR="000A0BEB">
                        <w:t>cocaïne, LSD, amphétamines</w:t>
                      </w:r>
                      <w:r>
                        <w:t xml:space="preserve">, crack). </w:t>
                      </w:r>
                      <w:r w:rsidR="000A0BEB">
                        <w:t>L</w:t>
                      </w:r>
                      <w:r>
                        <w:t xml:space="preserve">es jeunes de 17 ans </w:t>
                      </w:r>
                      <w:r w:rsidR="000A0BEB">
                        <w:t xml:space="preserve">se situent quant à eux dans la moyenne nationale </w:t>
                      </w:r>
                      <w:r>
                        <w:t xml:space="preserve">pour </w:t>
                      </w:r>
                      <w:r w:rsidR="000A0BEB">
                        <w:t>l’ensemble</w:t>
                      </w:r>
                      <w:r w:rsidR="00815D95">
                        <w:t xml:space="preserve"> des </w:t>
                      </w:r>
                      <w:r w:rsidR="0038195A">
                        <w:t xml:space="preserve">consommations de </w:t>
                      </w:r>
                      <w:r w:rsidR="00815D95">
                        <w:t>produits</w:t>
                      </w:r>
                      <w:r>
                        <w:t xml:space="preserve">. </w:t>
                      </w:r>
                      <w:r w:rsidR="00815D95">
                        <w:t>La</w:t>
                      </w:r>
                      <w:r w:rsidR="00815D95">
                        <w:rPr>
                          <w:spacing w:val="-3"/>
                        </w:rPr>
                        <w:t xml:space="preserve"> </w:t>
                      </w:r>
                      <w:r w:rsidRPr="0085614A">
                        <w:rPr>
                          <w:spacing w:val="-3"/>
                        </w:rPr>
                        <w:t xml:space="preserve">mortalité </w:t>
                      </w:r>
                      <w:r w:rsidR="0038195A">
                        <w:rPr>
                          <w:spacing w:val="-3"/>
                        </w:rPr>
                        <w:t>due aux</w:t>
                      </w:r>
                      <w:r w:rsidRPr="0085614A">
                        <w:rPr>
                          <w:spacing w:val="-3"/>
                        </w:rPr>
                        <w:t xml:space="preserve"> accidents de la route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815D95">
                        <w:rPr>
                          <w:spacing w:val="-3"/>
                        </w:rPr>
                        <w:t>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38195A">
                        <w:rPr>
                          <w:spacing w:val="-3"/>
                        </w:rPr>
                        <w:t>aux</w:t>
                      </w:r>
                      <w:r>
                        <w:rPr>
                          <w:spacing w:val="-3"/>
                        </w:rPr>
                        <w:t xml:space="preserve"> surdoses</w:t>
                      </w:r>
                      <w:r w:rsidR="00815D95">
                        <w:rPr>
                          <w:spacing w:val="-3"/>
                        </w:rPr>
                        <w:t xml:space="preserve"> </w:t>
                      </w:r>
                      <w:r w:rsidR="0038195A">
                        <w:rPr>
                          <w:spacing w:val="-3"/>
                        </w:rPr>
                        <w:t xml:space="preserve">liés </w:t>
                      </w:r>
                      <w:r w:rsidR="0056792A">
                        <w:rPr>
                          <w:spacing w:val="-3"/>
                        </w:rPr>
                        <w:t>à l’usage de</w:t>
                      </w:r>
                      <w:r w:rsidR="0038195A">
                        <w:rPr>
                          <w:spacing w:val="-3"/>
                        </w:rPr>
                        <w:t xml:space="preserve"> </w:t>
                      </w:r>
                      <w:r w:rsidR="0038195A" w:rsidRPr="0085614A">
                        <w:rPr>
                          <w:spacing w:val="-3"/>
                        </w:rPr>
                        <w:t>drogues</w:t>
                      </w:r>
                      <w:r w:rsidR="0038195A">
                        <w:rPr>
                          <w:spacing w:val="-3"/>
                        </w:rPr>
                        <w:t xml:space="preserve"> illicites </w:t>
                      </w:r>
                      <w:r w:rsidR="00815D95">
                        <w:rPr>
                          <w:spacing w:val="-3"/>
                        </w:rPr>
                        <w:t>s’avère en retrait dans la région</w:t>
                      </w:r>
                      <w:r>
                        <w:rPr>
                          <w:spacing w:val="-3"/>
                        </w:rPr>
                        <w:t xml:space="preserve">. </w:t>
                      </w:r>
                    </w:p>
                    <w:p w14:paraId="1C1996ED" w14:textId="77777777" w:rsidR="00F616B9" w:rsidRDefault="00F616B9"/>
                  </w:txbxContent>
                </v:textbox>
                <w10:wrap type="square" anchorx="margin"/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(18-75 ans pour l’alcool et le tabac, 18-64 ans pour les autres produits)</w:t>
      </w:r>
      <w:r w:rsidR="00AB57B2" w:rsidRPr="00A724E9">
        <w:t xml:space="preserve"> en 2017 dans la région </w:t>
      </w:r>
      <w:r w:rsidR="00AB7770">
        <w:t>Pays-de-la-Loire</w:t>
      </w:r>
      <w:r w:rsidR="00AB57B2" w:rsidRPr="00A724E9">
        <w:t xml:space="preserve">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3244"/>
        <w:gridCol w:w="629"/>
        <w:gridCol w:w="629"/>
        <w:gridCol w:w="705"/>
        <w:gridCol w:w="781"/>
        <w:gridCol w:w="781"/>
        <w:gridCol w:w="781"/>
      </w:tblGrid>
      <w:tr w:rsidR="00AB57B2" w:rsidRPr="00450AA9" w14:paraId="2EE76974" w14:textId="77777777" w:rsidTr="00AB7770">
        <w:trPr>
          <w:trHeight w:val="300"/>
        </w:trPr>
        <w:tc>
          <w:tcPr>
            <w:tcW w:w="2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7F018BB1" w14:textId="77777777" w:rsidR="00AB57B2" w:rsidRPr="00450AA9" w:rsidRDefault="00AB57B2" w:rsidP="00AB7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9590F8A" w14:textId="77777777" w:rsidR="00AB57B2" w:rsidRPr="00533B1C" w:rsidRDefault="00AB57B2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AB77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PDL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8B62647" w14:textId="77777777" w:rsidR="00AB57B2" w:rsidRPr="00533B1C" w:rsidRDefault="00AB57B2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6C895F8D" w14:textId="77777777" w:rsidTr="00AB7770">
        <w:trPr>
          <w:trHeight w:val="540"/>
        </w:trPr>
        <w:tc>
          <w:tcPr>
            <w:tcW w:w="2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7EC5640C" w14:textId="77777777" w:rsidR="00AB57B2" w:rsidRPr="00450AA9" w:rsidRDefault="00AB57B2" w:rsidP="00AB7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59C298D" w14:textId="77777777" w:rsidR="00AB57B2" w:rsidRPr="00450AA9" w:rsidRDefault="00AB57B2" w:rsidP="00D27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278B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683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2F2F68B" w14:textId="77777777" w:rsidR="00AB57B2" w:rsidRPr="00450AA9" w:rsidRDefault="00AB57B2" w:rsidP="00D27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278B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914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DE8F0C3" w14:textId="77777777" w:rsidR="00AB57B2" w:rsidRPr="00450AA9" w:rsidRDefault="00AB57B2" w:rsidP="00D27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278B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1597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C694083" w14:textId="77777777" w:rsidR="00AB57B2" w:rsidRPr="00450AA9" w:rsidRDefault="00AB57B2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(n=11596)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CDC99A3" w14:textId="77777777" w:rsidR="00AB57B2" w:rsidRPr="00450AA9" w:rsidRDefault="00AB57B2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(n=13723)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5FED6F6" w14:textId="77777777" w:rsidR="00AB57B2" w:rsidRPr="00450AA9" w:rsidRDefault="00AB57B2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(n=25319)</w:t>
            </w:r>
          </w:p>
        </w:tc>
      </w:tr>
      <w:tr w:rsidR="00AB7770" w:rsidRPr="00450AA9" w14:paraId="53DD9F3D" w14:textId="77777777" w:rsidTr="00AB7770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894C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2A2A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2FB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98*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A17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97*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535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98*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C55B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940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CA3F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94,6</w:t>
            </w:r>
          </w:p>
        </w:tc>
      </w:tr>
      <w:tr w:rsidR="00AB7770" w:rsidRPr="00450AA9" w14:paraId="427DE9DC" w14:textId="77777777" w:rsidTr="00AB7770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C485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0898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6CF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A01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3EE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ACF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007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470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18,8</w:t>
            </w:r>
          </w:p>
        </w:tc>
      </w:tr>
      <w:tr w:rsidR="00AB7770" w:rsidRPr="00450AA9" w14:paraId="482A8540" w14:textId="77777777" w:rsidTr="00AB7770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696C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F88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271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150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937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9643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5AB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5FB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</w:tr>
      <w:tr w:rsidR="00AB7770" w:rsidRPr="00450AA9" w14:paraId="2FA6A1E3" w14:textId="77777777" w:rsidTr="00AB7770">
        <w:trPr>
          <w:trHeight w:val="6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4A4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79A2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C37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4F1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F05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B1D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31BF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9C1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16,2</w:t>
            </w:r>
          </w:p>
        </w:tc>
      </w:tr>
      <w:tr w:rsidR="00AB7770" w:rsidRPr="00450AA9" w14:paraId="20FF4B33" w14:textId="77777777" w:rsidTr="00AB7770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53F6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DDAE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49D5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4054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A916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9146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13EE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61B7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75,7</w:t>
            </w:r>
          </w:p>
        </w:tc>
      </w:tr>
      <w:tr w:rsidR="00533C07" w:rsidRPr="00450AA9" w14:paraId="7ACDC380" w14:textId="77777777" w:rsidTr="00AB7770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353" w14:textId="77777777" w:rsidR="00533C07" w:rsidRPr="00450AA9" w:rsidRDefault="00533C07" w:rsidP="00533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6226" w14:textId="77777777" w:rsidR="00533C07" w:rsidRPr="00450AA9" w:rsidRDefault="00533C07" w:rsidP="00533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38195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455" w14:textId="77777777" w:rsidR="00533C07" w:rsidRPr="00AB7770" w:rsidRDefault="00533C07" w:rsidP="00533C0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00B050"/>
                <w:sz w:val="14"/>
                <w:szCs w:val="14"/>
              </w:rPr>
              <w:t>25*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6344" w14:textId="77777777" w:rsidR="00533C07" w:rsidRPr="00AB7770" w:rsidRDefault="00533C07" w:rsidP="00533C0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FEFE" w14:textId="77777777" w:rsidR="00533C07" w:rsidRPr="00BF64A3" w:rsidRDefault="00533C07" w:rsidP="00533C07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BF64A3">
              <w:rPr>
                <w:rFonts w:ascii="Calibri" w:hAnsi="Calibri"/>
                <w:color w:val="00B050"/>
                <w:sz w:val="14"/>
                <w:szCs w:val="14"/>
              </w:rPr>
              <w:t>23*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4790" w14:textId="77777777" w:rsidR="00533C07" w:rsidRPr="00D34329" w:rsidRDefault="00533C07" w:rsidP="00533C0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51BB" w14:textId="77777777" w:rsidR="00533C07" w:rsidRPr="00D34329" w:rsidRDefault="00533C07" w:rsidP="00533C0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3480" w14:textId="77777777" w:rsidR="00533C07" w:rsidRPr="00D34329" w:rsidRDefault="00533C07" w:rsidP="00533C0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27,0</w:t>
            </w:r>
          </w:p>
        </w:tc>
      </w:tr>
      <w:tr w:rsidR="00AB7770" w:rsidRPr="00450AA9" w14:paraId="2F09E8A1" w14:textId="77777777" w:rsidTr="00AB7770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FDC3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E9D9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38195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F2A9" w14:textId="77777777" w:rsidR="00AB7770" w:rsidRPr="00AB7770" w:rsidRDefault="00533C07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12</w:t>
            </w:r>
            <w:r w:rsidR="00AB7770" w:rsidRPr="00BF64A3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2C83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85D0" w14:textId="77777777" w:rsidR="00AB7770" w:rsidRPr="00BF64A3" w:rsidRDefault="00533C07" w:rsidP="00AB7770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10</w:t>
            </w:r>
            <w:r w:rsidR="00AB7770" w:rsidRPr="00BF64A3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6FE1" w14:textId="77777777" w:rsidR="00AB7770" w:rsidRPr="00D34329" w:rsidRDefault="00533C07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D31E" w14:textId="77777777" w:rsidR="00AB7770" w:rsidRPr="00D34329" w:rsidRDefault="00533C07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1192" w14:textId="77777777" w:rsidR="00AB7770" w:rsidRPr="00D34329" w:rsidRDefault="00533C07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12,8</w:t>
            </w:r>
          </w:p>
        </w:tc>
      </w:tr>
      <w:tr w:rsidR="00AB7770" w:rsidRPr="00450AA9" w14:paraId="66A3224B" w14:textId="77777777" w:rsidTr="00AB7770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331E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DC71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AD06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E14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34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795F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BF64A3">
              <w:rPr>
                <w:rFonts w:ascii="Calibri" w:hAnsi="Calibri"/>
                <w:color w:val="00B050"/>
                <w:sz w:val="14"/>
                <w:szCs w:val="14"/>
              </w:rPr>
              <w:t>41*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EC3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6318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6AE8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44,8</w:t>
            </w:r>
          </w:p>
        </w:tc>
      </w:tr>
      <w:tr w:rsidR="00AB7770" w:rsidRPr="00450AA9" w14:paraId="1652959A" w14:textId="77777777" w:rsidTr="00AB7770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77330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A70A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2A17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66B5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09FE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BF64A3">
              <w:rPr>
                <w:rFonts w:ascii="Calibri" w:hAnsi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1FC1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F7B9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280F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11,0</w:t>
            </w:r>
          </w:p>
        </w:tc>
      </w:tr>
      <w:tr w:rsidR="00AB7770" w:rsidRPr="00450AA9" w14:paraId="5BB9D8BF" w14:textId="77777777" w:rsidTr="00AB7770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1F9BA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4B07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527D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647E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22DE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BF64A3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8A79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061E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95A6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3,6</w:t>
            </w:r>
          </w:p>
        </w:tc>
      </w:tr>
      <w:tr w:rsidR="00AB7770" w:rsidRPr="00450AA9" w14:paraId="4CBC04CF" w14:textId="77777777" w:rsidTr="00AB7770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F041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16D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64D6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2F19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BC42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F237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157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436B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</w:tr>
      <w:tr w:rsidR="00AB7770" w:rsidRPr="00450AA9" w14:paraId="513F0A4C" w14:textId="77777777" w:rsidTr="00AB7770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6818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AF8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D54C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B036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B4CC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E442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6BE8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520A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5,6</w:t>
            </w:r>
          </w:p>
        </w:tc>
      </w:tr>
      <w:tr w:rsidR="00AB7770" w:rsidRPr="00450AA9" w14:paraId="538DDF2C" w14:textId="77777777" w:rsidTr="00AB7770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614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C09D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0E8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275F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15A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EB5E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4E8A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D25C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5,0</w:t>
            </w:r>
          </w:p>
        </w:tc>
      </w:tr>
      <w:tr w:rsidR="00AB7770" w:rsidRPr="00450AA9" w14:paraId="7901CD03" w14:textId="77777777" w:rsidTr="00AB7770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8D54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8A0A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4FCA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CE07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ADA0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86C0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535C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C191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5,3</w:t>
            </w:r>
          </w:p>
        </w:tc>
      </w:tr>
      <w:tr w:rsidR="00AB7770" w:rsidRPr="00450AA9" w14:paraId="50E7FD1F" w14:textId="77777777" w:rsidTr="00AB7770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D750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EF35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813F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222E" w14:textId="77777777" w:rsidR="00AB7770" w:rsidRPr="00BF64A3" w:rsidRDefault="000A0BEB" w:rsidP="00AB7770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&lt;0,5</w:t>
            </w:r>
            <w:r w:rsidR="00AB7770" w:rsidRPr="00BF64A3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25D0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BF64A3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7401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233B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523F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</w:tr>
      <w:tr w:rsidR="00AB7770" w:rsidRPr="00450AA9" w14:paraId="393378CA" w14:textId="77777777" w:rsidTr="00AB7770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7DFA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D95B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4382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CF0F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BF64A3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3D9A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BF64A3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1DE7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0268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214D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2,2</w:t>
            </w:r>
          </w:p>
        </w:tc>
      </w:tr>
      <w:tr w:rsidR="00AB7770" w:rsidRPr="00450AA9" w14:paraId="1DBC982B" w14:textId="77777777" w:rsidTr="00AB7770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3EE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5D12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A71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8ECB" w14:textId="77777777" w:rsidR="00AB7770" w:rsidRPr="00AB7770" w:rsidRDefault="000A0BEB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CF00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F0E4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603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1377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1,3</w:t>
            </w:r>
          </w:p>
        </w:tc>
      </w:tr>
      <w:tr w:rsidR="00AB7770" w:rsidRPr="00450AA9" w14:paraId="2137492F" w14:textId="77777777" w:rsidTr="00AB7770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7E96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FF2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FFA2" w14:textId="77777777" w:rsidR="00AB7770" w:rsidRPr="00AB7770" w:rsidRDefault="000A0BEB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9FB9" w14:textId="77777777" w:rsidR="00AB7770" w:rsidRPr="00AB7770" w:rsidRDefault="000A0BEB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6D0C" w14:textId="77777777" w:rsidR="00AB7770" w:rsidRPr="00AB7770" w:rsidRDefault="000A0BEB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&lt;0,5</w:t>
            </w:r>
            <w:r w:rsidR="00AB7770" w:rsidRPr="00BF64A3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547B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B479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4BDE" w14:textId="77777777" w:rsidR="00AB7770" w:rsidRPr="00D34329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0,7</w:t>
            </w:r>
          </w:p>
        </w:tc>
      </w:tr>
    </w:tbl>
    <w:p w14:paraId="60FF5921" w14:textId="77777777" w:rsidR="00AB57B2" w:rsidRPr="008361EB" w:rsidRDefault="00AB57B2" w:rsidP="00AB57B2">
      <w:pPr>
        <w:pStyle w:val="Sous-titre"/>
      </w:pPr>
      <w:r w:rsidRPr="008361EB">
        <w:t>Source : Baromètre Santé 2017, SPF</w:t>
      </w:r>
    </w:p>
    <w:p w14:paraId="3F0B24A6" w14:textId="77777777" w:rsidR="00BA4D7D" w:rsidRDefault="00BA4D7D" w:rsidP="00BA4D7D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2989D018" w14:textId="77777777" w:rsidR="00AB57B2" w:rsidRDefault="00AB57B2" w:rsidP="00AB57B2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BF64A3" w:rsidRPr="00BF64A3">
        <w:rPr>
          <w:rFonts w:ascii="Eurocrat" w:hAnsi="Eurocrat"/>
          <w:color w:val="00B050"/>
          <w:sz w:val="14"/>
          <w:szCs w:val="14"/>
        </w:rPr>
        <w:t>2</w:t>
      </w:r>
      <w:r w:rsidR="00385030">
        <w:rPr>
          <w:rFonts w:ascii="Eurocrat" w:hAnsi="Eurocrat"/>
          <w:color w:val="00B050"/>
          <w:sz w:val="14"/>
          <w:szCs w:val="14"/>
        </w:rPr>
        <w:t>5</w:t>
      </w:r>
      <w:r w:rsidRPr="00BF64A3">
        <w:rPr>
          <w:rFonts w:ascii="Eurocrat" w:hAnsi="Eurocrat"/>
          <w:color w:val="00B05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l’usage </w:t>
      </w:r>
      <w:r w:rsidR="00C77613">
        <w:rPr>
          <w:rFonts w:ascii="Eurocrat" w:hAnsi="Eurocrat"/>
          <w:color w:val="4A4948"/>
          <w:sz w:val="14"/>
          <w:szCs w:val="14"/>
        </w:rPr>
        <w:t>quotidien</w:t>
      </w:r>
      <w:r w:rsidR="00BF64A3">
        <w:rPr>
          <w:rFonts w:ascii="Eurocrat" w:hAnsi="Eurocrat"/>
          <w:color w:val="4A4948"/>
          <w:sz w:val="14"/>
          <w:szCs w:val="14"/>
        </w:rPr>
        <w:t xml:space="preserve"> de tabac</w:t>
      </w:r>
      <w:r w:rsidR="00385030">
        <w:rPr>
          <w:rFonts w:ascii="Eurocrat" w:hAnsi="Eurocrat"/>
          <w:color w:val="4A4948"/>
          <w:sz w:val="14"/>
          <w:szCs w:val="14"/>
        </w:rPr>
        <w:t xml:space="preserve"> des hommes</w:t>
      </w:r>
      <w:r w:rsidR="00BF64A3">
        <w:rPr>
          <w:rFonts w:ascii="Eurocrat" w:hAnsi="Eurocrat"/>
          <w:color w:val="4A4948"/>
          <w:sz w:val="14"/>
          <w:szCs w:val="14"/>
        </w:rPr>
        <w:t xml:space="preserve"> dans la région est inférieur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923168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>à celui de leurs homologues du reste de la France.</w:t>
      </w:r>
    </w:p>
    <w:p w14:paraId="2700EFC1" w14:textId="77777777" w:rsidR="00AB57B2" w:rsidRPr="00A724E9" w:rsidRDefault="00AB57B2" w:rsidP="00AB57B2">
      <w:pPr>
        <w:pStyle w:val="Titre2"/>
        <w:spacing w:after="120"/>
      </w:pPr>
      <w:r w:rsidRPr="00A724E9">
        <w:t xml:space="preserve">Évolution des usages quotidiens de tabac et des usages réguliers d’alcool et de cannabis </w:t>
      </w:r>
      <w:r w:rsidR="00D278BE" w:rsidRPr="00A724E9">
        <w:t xml:space="preserve">à </w:t>
      </w:r>
      <w:r w:rsidR="00D278BE">
        <w:t>l’âge adulte</w:t>
      </w:r>
      <w:r w:rsidRPr="00A724E9">
        <w:t xml:space="preserve"> dans la région </w:t>
      </w:r>
      <w:r w:rsidR="00AB7770">
        <w:t>Pays-de-la-Loire</w:t>
      </w:r>
      <w:r w:rsidRPr="00A724E9">
        <w:t xml:space="preserve"> et en France métropolitaine entre 2005 et 2017 (%)</w:t>
      </w:r>
    </w:p>
    <w:p w14:paraId="69FA7A14" w14:textId="77777777" w:rsidR="00AB57B2" w:rsidRDefault="00BF64A3" w:rsidP="00AB57B2">
      <w:pPr>
        <w:tabs>
          <w:tab w:val="left" w:pos="2459"/>
        </w:tabs>
        <w:rPr>
          <w:b/>
          <w:color w:val="000000" w:themeColor="text1"/>
          <w:sz w:val="18"/>
        </w:rPr>
      </w:pPr>
      <w:r w:rsidRPr="00BF64A3">
        <w:rPr>
          <w:noProof/>
          <w:lang w:eastAsia="fr-FR"/>
        </w:rPr>
        <w:drawing>
          <wp:inline distT="0" distB="0" distL="0" distR="0" wp14:anchorId="57D15069" wp14:editId="1406B892">
            <wp:extent cx="5560291" cy="2733444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34" cy="274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4F98" w14:textId="77777777" w:rsidR="00AB57B2" w:rsidRDefault="00AB57B2" w:rsidP="00AB57B2">
      <w:pPr>
        <w:pStyle w:val="Sous-titre"/>
      </w:pPr>
      <w:r w:rsidRPr="00450AA9">
        <w:t xml:space="preserve">Sources : </w:t>
      </w:r>
      <w:r>
        <w:t>Baromètre Santé 2005, 2010, 2014, 2017, SPF</w:t>
      </w:r>
    </w:p>
    <w:p w14:paraId="773C5D7F" w14:textId="77777777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lastRenderedPageBreak/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dans la région </w:t>
      </w:r>
      <w:r w:rsidR="00AB7770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Pays-de-la-Loire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72F0F86F" w14:textId="77777777" w:rsidTr="00AB7770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61DBC4D3" w14:textId="77777777" w:rsidR="00F6482C" w:rsidRPr="00450AA9" w:rsidRDefault="00F6482C" w:rsidP="00AB7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71ABDE0" w14:textId="77777777" w:rsidR="00F6482C" w:rsidRPr="00533B1C" w:rsidRDefault="00F6482C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AB77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PDL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7F31171" w14:textId="77777777" w:rsidR="00F6482C" w:rsidRPr="00533B1C" w:rsidRDefault="00F6482C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5BA84E17" w14:textId="77777777" w:rsidTr="00AB7770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2177B91B" w14:textId="77777777" w:rsidR="00F6482C" w:rsidRPr="00450AA9" w:rsidRDefault="00F6482C" w:rsidP="00AB7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905012D" w14:textId="77777777" w:rsidR="00F6482C" w:rsidRPr="00450AA9" w:rsidRDefault="00F6482C" w:rsidP="00D27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278B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1211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00ACFF3" w14:textId="77777777" w:rsidR="00F6482C" w:rsidRPr="00450AA9" w:rsidRDefault="00F6482C" w:rsidP="00D27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278B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1199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9D86462" w14:textId="77777777" w:rsidR="00F6482C" w:rsidRPr="00450AA9" w:rsidRDefault="00F6482C" w:rsidP="00D27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278B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2410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D8FEBE6" w14:textId="77777777" w:rsidR="00F6482C" w:rsidRPr="00450AA9" w:rsidRDefault="00F6482C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559D0C3" w14:textId="77777777" w:rsidR="00F6482C" w:rsidRPr="00450AA9" w:rsidRDefault="00F6482C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1AAAC7F" w14:textId="77777777" w:rsidR="00F6482C" w:rsidRPr="00450AA9" w:rsidRDefault="00F6482C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AB7770" w:rsidRPr="00450AA9" w14:paraId="645952F5" w14:textId="77777777" w:rsidTr="00AB7770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ACE8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3758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680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93*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392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92*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549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92*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4EB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D538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182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85,7</w:t>
            </w:r>
          </w:p>
        </w:tc>
      </w:tr>
      <w:tr w:rsidR="00AB7770" w:rsidRPr="00450AA9" w14:paraId="1DCC83AF" w14:textId="77777777" w:rsidTr="00AB7770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6F13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FF39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6F3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79*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891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73*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86AC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76*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FB7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10C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A5E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66,5</w:t>
            </w:r>
          </w:p>
        </w:tc>
      </w:tr>
      <w:tr w:rsidR="00AB7770" w:rsidRPr="00450AA9" w14:paraId="3363AEC7" w14:textId="77777777" w:rsidTr="00AB7770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9881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516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03B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18*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7F36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41F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12*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A5E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193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BDAF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8,4</w:t>
            </w:r>
          </w:p>
        </w:tc>
      </w:tr>
      <w:tr w:rsidR="00AB7770" w:rsidRPr="00450AA9" w14:paraId="017AE5EA" w14:textId="77777777" w:rsidTr="00AB7770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7B8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7601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4C5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30*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A15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13*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A2B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22*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27D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6819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3E2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16,4</w:t>
            </w:r>
          </w:p>
        </w:tc>
      </w:tr>
      <w:tr w:rsidR="00AB7770" w:rsidRPr="00450AA9" w14:paraId="63D76832" w14:textId="77777777" w:rsidTr="00AB7770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932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FCEE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0CA2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61*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51FC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64*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EDB0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63*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5B2B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5F7B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C9E0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59,0</w:t>
            </w:r>
          </w:p>
        </w:tc>
      </w:tr>
      <w:tr w:rsidR="00AB7770" w:rsidRPr="00450AA9" w14:paraId="4D5BFD75" w14:textId="77777777" w:rsidTr="00AB7770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2D7D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00C1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38195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DEFA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0831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24CD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C6FC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646D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69E4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25,1</w:t>
            </w:r>
          </w:p>
        </w:tc>
      </w:tr>
      <w:tr w:rsidR="00AB7770" w:rsidRPr="00450AA9" w14:paraId="2BD83B3E" w14:textId="77777777" w:rsidTr="00AB7770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6319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8EA5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38195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449B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107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7C4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7519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1115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220D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5,2</w:t>
            </w:r>
          </w:p>
        </w:tc>
      </w:tr>
      <w:tr w:rsidR="00AB7770" w:rsidRPr="00450AA9" w14:paraId="53140200" w14:textId="77777777" w:rsidTr="00AB7770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905E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2DA1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5E45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46*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3C4F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61DE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39D8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626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F21C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39,1</w:t>
            </w:r>
          </w:p>
        </w:tc>
      </w:tr>
      <w:tr w:rsidR="00AB7770" w:rsidRPr="00450AA9" w14:paraId="41B00835" w14:textId="77777777" w:rsidTr="00AB7770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D8E12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1ABC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821B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27*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F730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BAD0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9741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5C59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A3F7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</w:tr>
      <w:tr w:rsidR="00AB7770" w:rsidRPr="00450AA9" w14:paraId="026A4587" w14:textId="77777777" w:rsidTr="00AB7770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AC0D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3D8D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00FE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0802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189B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D104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7712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C79A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7,2</w:t>
            </w:r>
          </w:p>
        </w:tc>
      </w:tr>
      <w:tr w:rsidR="00AB7770" w:rsidRPr="00450AA9" w14:paraId="384B84DB" w14:textId="77777777" w:rsidTr="00AB7770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F2C8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8FA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22E4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13*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5707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10*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4FD" w14:textId="77777777" w:rsidR="00AB7770" w:rsidRPr="00BF64A3" w:rsidRDefault="00AB7770" w:rsidP="00AB7770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11*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EF49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B842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95AA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8,8</w:t>
            </w:r>
          </w:p>
        </w:tc>
      </w:tr>
      <w:tr w:rsidR="00AB7770" w:rsidRPr="00450AA9" w14:paraId="63D46E8C" w14:textId="77777777" w:rsidTr="00AB7770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A731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D047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0696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9DAE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F958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9CB4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8945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FAC7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AB7770" w:rsidRPr="00450AA9" w14:paraId="0C23F865" w14:textId="77777777" w:rsidTr="00AB7770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CAEC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A650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1817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F9B4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55F1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D971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8431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11DC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3,4</w:t>
            </w:r>
          </w:p>
        </w:tc>
      </w:tr>
      <w:tr w:rsidR="00AB7770" w:rsidRPr="00450AA9" w14:paraId="029E7D5B" w14:textId="77777777" w:rsidTr="00AB7770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FB81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6246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EC2D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3E88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C7C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8C28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D5F1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3853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AB7770" w:rsidRPr="00450AA9" w14:paraId="4D224037" w14:textId="77777777" w:rsidTr="00AB7770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BE30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FEC6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B969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D5EB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A469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3CB7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9E3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866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1,6</w:t>
            </w:r>
          </w:p>
        </w:tc>
      </w:tr>
      <w:tr w:rsidR="00AB7770" w:rsidRPr="00450AA9" w14:paraId="50A61473" w14:textId="77777777" w:rsidTr="00AB7770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4BAF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39EA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8878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F64A3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41DA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355E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23A7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829A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2BFB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2,3</w:t>
            </w:r>
          </w:p>
        </w:tc>
      </w:tr>
      <w:tr w:rsidR="00AB7770" w:rsidRPr="00450AA9" w14:paraId="0804DFA0" w14:textId="77777777" w:rsidTr="00AB7770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5892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95E1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C575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08DA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4387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4B97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A684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D472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</w:tr>
      <w:tr w:rsidR="00AB7770" w:rsidRPr="00450AA9" w14:paraId="72006B4A" w14:textId="77777777" w:rsidTr="00AB7770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B82B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288E" w14:textId="77777777" w:rsidR="00AB7770" w:rsidRPr="00450AA9" w:rsidRDefault="00AB7770" w:rsidP="00AB7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AEC0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A317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6AB2" w14:textId="77777777" w:rsidR="00AB7770" w:rsidRPr="00AB7770" w:rsidRDefault="00AB7770" w:rsidP="00AB77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B777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F121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4DE3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E192" w14:textId="77777777" w:rsidR="00AB7770" w:rsidRPr="00450AA9" w:rsidRDefault="00AB7770" w:rsidP="00AB7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</w:tr>
    </w:tbl>
    <w:p w14:paraId="1520DA24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285D4C0E" w14:textId="77777777" w:rsidR="005644F6" w:rsidRDefault="005644F6" w:rsidP="005644F6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1E3B78AC" w14:textId="77777777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904192" w:rsidRPr="00904192">
        <w:rPr>
          <w:rFonts w:ascii="Eurocrat" w:hAnsi="Eurocrat"/>
          <w:color w:val="FF0000"/>
          <w:sz w:val="14"/>
          <w:szCs w:val="14"/>
        </w:rPr>
        <w:t>6</w:t>
      </w:r>
      <w:r w:rsidR="00385030">
        <w:rPr>
          <w:rFonts w:ascii="Eurocrat" w:hAnsi="Eurocrat"/>
          <w:color w:val="FF0000"/>
          <w:sz w:val="14"/>
          <w:szCs w:val="14"/>
        </w:rPr>
        <w:t>1</w:t>
      </w:r>
      <w:r w:rsidRPr="00904192">
        <w:rPr>
          <w:rFonts w:ascii="Eurocrat" w:hAnsi="Eurocrat"/>
          <w:color w:val="FF0000"/>
          <w:sz w:val="14"/>
          <w:szCs w:val="14"/>
        </w:rPr>
        <w:t xml:space="preserve">* </w:t>
      </w:r>
      <w:r>
        <w:rPr>
          <w:rFonts w:ascii="Eurocrat" w:hAnsi="Eurocrat"/>
          <w:color w:val="4A4948"/>
          <w:sz w:val="14"/>
          <w:szCs w:val="14"/>
        </w:rPr>
        <w:t>signifie que l</w:t>
      </w:r>
      <w:r w:rsidR="00904192">
        <w:rPr>
          <w:rFonts w:ascii="Eurocrat" w:hAnsi="Eurocrat"/>
          <w:color w:val="4A4948"/>
          <w:sz w:val="14"/>
          <w:szCs w:val="14"/>
        </w:rPr>
        <w:t>e niveau d’</w:t>
      </w:r>
      <w:r>
        <w:rPr>
          <w:rFonts w:ascii="Eurocrat" w:hAnsi="Eurocrat"/>
          <w:color w:val="4A4948"/>
          <w:sz w:val="14"/>
          <w:szCs w:val="14"/>
        </w:rPr>
        <w:t xml:space="preserve">expérimentation de tabac </w:t>
      </w:r>
      <w:r w:rsidR="00385030">
        <w:rPr>
          <w:rFonts w:ascii="Eurocrat" w:hAnsi="Eurocrat"/>
          <w:color w:val="4A4948"/>
          <w:sz w:val="14"/>
          <w:szCs w:val="14"/>
        </w:rPr>
        <w:t xml:space="preserve">des garçons </w:t>
      </w:r>
      <w:r w:rsidR="00904192">
        <w:rPr>
          <w:rFonts w:ascii="Eurocrat" w:hAnsi="Eurocrat"/>
          <w:color w:val="4A4948"/>
          <w:sz w:val="14"/>
          <w:szCs w:val="14"/>
        </w:rPr>
        <w:t>dans la région est supérieur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923168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>du reste de la France.</w:t>
      </w:r>
    </w:p>
    <w:p w14:paraId="6A91322D" w14:textId="77777777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dans la région </w:t>
      </w:r>
      <w:r w:rsidR="00AB7770">
        <w:t>Pays-de-la-Loire</w:t>
      </w:r>
      <w:r w:rsidR="00450AA9" w:rsidRPr="00F616B9">
        <w:t xml:space="preserve"> et en France métropolitaine entre 2005 et 2017 (%)</w:t>
      </w:r>
    </w:p>
    <w:p w14:paraId="5F3EE46D" w14:textId="77777777" w:rsidR="00EC2B3A" w:rsidRDefault="00BF64A3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BF64A3">
        <w:rPr>
          <w:noProof/>
          <w:lang w:eastAsia="fr-FR"/>
        </w:rPr>
        <w:drawing>
          <wp:inline distT="0" distB="0" distL="0" distR="0" wp14:anchorId="60E36625" wp14:editId="0ED2809F">
            <wp:extent cx="5318150" cy="267282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88" cy="268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E2203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599E4A1D" w14:textId="77777777" w:rsidR="005F0830" w:rsidRDefault="005F0830" w:rsidP="005F0830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</w:p>
    <w:p w14:paraId="6AE7B333" w14:textId="11FAB27E" w:rsidR="00212A7B" w:rsidRPr="005F0830" w:rsidRDefault="005F0830" w:rsidP="005F0830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</w:p>
    <w:tbl>
      <w:tblPr>
        <w:tblStyle w:val="Grilledutableau"/>
        <w:tblpPr w:leftFromText="141" w:rightFromText="141" w:vertAnchor="page" w:horzAnchor="margin" w:tblpY="2371"/>
        <w:tblW w:w="9209" w:type="dxa"/>
        <w:tblLook w:val="04A0" w:firstRow="1" w:lastRow="0" w:firstColumn="1" w:lastColumn="0" w:noHBand="0" w:noVBand="1"/>
      </w:tblPr>
      <w:tblGrid>
        <w:gridCol w:w="2207"/>
        <w:gridCol w:w="1745"/>
        <w:gridCol w:w="1821"/>
        <w:gridCol w:w="1732"/>
        <w:gridCol w:w="1704"/>
      </w:tblGrid>
      <w:tr w:rsidR="00C41E43" w:rsidRPr="00DC15D8" w14:paraId="16DE6455" w14:textId="77777777" w:rsidTr="00AE4C44">
        <w:tc>
          <w:tcPr>
            <w:tcW w:w="2207" w:type="dxa"/>
            <w:shd w:val="clear" w:color="auto" w:fill="D5D5CB"/>
            <w:vAlign w:val="center"/>
          </w:tcPr>
          <w:p w14:paraId="55D29F84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D5D5CB"/>
            <w:vAlign w:val="center"/>
          </w:tcPr>
          <w:p w14:paraId="0C3E6BB0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5D5CB"/>
            <w:vAlign w:val="center"/>
          </w:tcPr>
          <w:p w14:paraId="51B60585" w14:textId="77777777" w:rsidR="00C41E43" w:rsidRPr="00DC15D8" w:rsidRDefault="00AB7770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Pays-de-la-Loire</w:t>
            </w:r>
          </w:p>
        </w:tc>
        <w:tc>
          <w:tcPr>
            <w:tcW w:w="1732" w:type="dxa"/>
            <w:shd w:val="clear" w:color="auto" w:fill="D5D5CB"/>
            <w:vAlign w:val="center"/>
          </w:tcPr>
          <w:p w14:paraId="4EFE9D33" w14:textId="77777777" w:rsidR="00C41E43" w:rsidRPr="00DC15D8" w:rsidRDefault="00AE4C4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  <w:tc>
          <w:tcPr>
            <w:tcW w:w="1704" w:type="dxa"/>
            <w:shd w:val="clear" w:color="auto" w:fill="D5D5CB"/>
            <w:vAlign w:val="center"/>
          </w:tcPr>
          <w:p w14:paraId="18E19E39" w14:textId="77777777" w:rsidR="00AE4C44" w:rsidRDefault="00AE4C44" w:rsidP="00AE4C44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Rang</w:t>
            </w:r>
          </w:p>
          <w:p w14:paraId="227FAB61" w14:textId="77777777" w:rsidR="00C41E43" w:rsidRPr="00AE4C44" w:rsidRDefault="00AE4C44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 w:rsidRPr="00AE4C44">
              <w:rPr>
                <w:sz w:val="16"/>
                <w:szCs w:val="16"/>
              </w:rPr>
              <w:t xml:space="preserve">(parmi les </w:t>
            </w:r>
            <w:r w:rsidR="00C41E43" w:rsidRPr="00AE4C44">
              <w:rPr>
                <w:sz w:val="16"/>
                <w:szCs w:val="16"/>
              </w:rPr>
              <w:t>13</w:t>
            </w:r>
            <w:r w:rsidRPr="00AE4C44">
              <w:rPr>
                <w:sz w:val="16"/>
                <w:szCs w:val="16"/>
              </w:rPr>
              <w:t xml:space="preserve"> régions métropolitaines</w:t>
            </w:r>
            <w:r w:rsidR="00C41E43" w:rsidRPr="00AE4C44">
              <w:rPr>
                <w:sz w:val="16"/>
                <w:szCs w:val="16"/>
              </w:rPr>
              <w:t>)</w:t>
            </w:r>
          </w:p>
        </w:tc>
      </w:tr>
      <w:tr w:rsidR="00AB7770" w:rsidRPr="00DC15D8" w14:paraId="44BA68C5" w14:textId="77777777" w:rsidTr="00AE4C44">
        <w:trPr>
          <w:trHeight w:val="911"/>
        </w:trPr>
        <w:tc>
          <w:tcPr>
            <w:tcW w:w="2207" w:type="dxa"/>
            <w:vAlign w:val="center"/>
          </w:tcPr>
          <w:p w14:paraId="6CBBDE47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7E4B3BFB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2749057F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5,2</w:t>
            </w:r>
          </w:p>
        </w:tc>
        <w:tc>
          <w:tcPr>
            <w:tcW w:w="1732" w:type="dxa"/>
            <w:vAlign w:val="center"/>
          </w:tcPr>
          <w:p w14:paraId="37648F9C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04" w:type="dxa"/>
            <w:vAlign w:val="center"/>
          </w:tcPr>
          <w:p w14:paraId="27E62F89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AB7770" w:rsidRPr="00DC15D8" w14:paraId="2B9166DC" w14:textId="77777777" w:rsidTr="00AE4C44">
        <w:trPr>
          <w:trHeight w:val="698"/>
        </w:trPr>
        <w:tc>
          <w:tcPr>
            <w:tcW w:w="2207" w:type="dxa"/>
            <w:vAlign w:val="center"/>
          </w:tcPr>
          <w:p w14:paraId="3E522AC7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713FECA1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3C65E29C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2,7</w:t>
            </w:r>
          </w:p>
        </w:tc>
        <w:tc>
          <w:tcPr>
            <w:tcW w:w="1732" w:type="dxa"/>
            <w:vAlign w:val="center"/>
          </w:tcPr>
          <w:p w14:paraId="2BB359E8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04" w:type="dxa"/>
            <w:vAlign w:val="center"/>
          </w:tcPr>
          <w:p w14:paraId="1A8CEDF4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AB7770" w:rsidRPr="00DC15D8" w14:paraId="2E59E80A" w14:textId="77777777" w:rsidTr="00AE4C44">
        <w:trPr>
          <w:trHeight w:val="835"/>
        </w:trPr>
        <w:tc>
          <w:tcPr>
            <w:tcW w:w="2207" w:type="dxa"/>
            <w:vAlign w:val="center"/>
          </w:tcPr>
          <w:p w14:paraId="0423C8C3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6BD99536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1821" w:type="dxa"/>
            <w:vAlign w:val="center"/>
          </w:tcPr>
          <w:p w14:paraId="153E378C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14,8</w:t>
            </w:r>
          </w:p>
        </w:tc>
        <w:tc>
          <w:tcPr>
            <w:tcW w:w="1732" w:type="dxa"/>
            <w:vAlign w:val="center"/>
          </w:tcPr>
          <w:p w14:paraId="0EE5C450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11,7</w:t>
            </w:r>
          </w:p>
        </w:tc>
        <w:tc>
          <w:tcPr>
            <w:tcW w:w="1704" w:type="dxa"/>
            <w:vAlign w:val="center"/>
          </w:tcPr>
          <w:p w14:paraId="1FA8EB5C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AB7770" w:rsidRPr="00DC15D8" w14:paraId="1EE3FABB" w14:textId="77777777" w:rsidTr="00AE4C44">
        <w:trPr>
          <w:trHeight w:val="847"/>
        </w:trPr>
        <w:tc>
          <w:tcPr>
            <w:tcW w:w="2207" w:type="dxa"/>
            <w:vAlign w:val="center"/>
          </w:tcPr>
          <w:p w14:paraId="4A278347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68E404BF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1821" w:type="dxa"/>
            <w:vAlign w:val="center"/>
          </w:tcPr>
          <w:p w14:paraId="0E96F7F2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35,6</w:t>
            </w:r>
          </w:p>
        </w:tc>
        <w:tc>
          <w:tcPr>
            <w:tcW w:w="1732" w:type="dxa"/>
            <w:vAlign w:val="center"/>
          </w:tcPr>
          <w:p w14:paraId="50B2A93F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30,2</w:t>
            </w:r>
          </w:p>
        </w:tc>
        <w:tc>
          <w:tcPr>
            <w:tcW w:w="1704" w:type="dxa"/>
            <w:vAlign w:val="center"/>
          </w:tcPr>
          <w:p w14:paraId="7113C7C6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AB7770" w:rsidRPr="00DC15D8" w14:paraId="41D614F6" w14:textId="77777777" w:rsidTr="00AE4C44">
        <w:trPr>
          <w:trHeight w:val="844"/>
        </w:trPr>
        <w:tc>
          <w:tcPr>
            <w:tcW w:w="2207" w:type="dxa"/>
            <w:vAlign w:val="center"/>
          </w:tcPr>
          <w:p w14:paraId="2B169EE4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1DDA6B32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1821" w:type="dxa"/>
            <w:vAlign w:val="center"/>
          </w:tcPr>
          <w:p w14:paraId="5F4F12E3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16,0</w:t>
            </w:r>
          </w:p>
        </w:tc>
        <w:tc>
          <w:tcPr>
            <w:tcW w:w="1732" w:type="dxa"/>
            <w:vAlign w:val="center"/>
          </w:tcPr>
          <w:p w14:paraId="7794715E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22,3</w:t>
            </w:r>
          </w:p>
        </w:tc>
        <w:tc>
          <w:tcPr>
            <w:tcW w:w="1704" w:type="dxa"/>
            <w:vAlign w:val="center"/>
          </w:tcPr>
          <w:p w14:paraId="14CE1A5D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AB7770" w:rsidRPr="00DC15D8" w14:paraId="0E806B1F" w14:textId="77777777" w:rsidTr="00AE4C44">
        <w:trPr>
          <w:trHeight w:val="843"/>
        </w:trPr>
        <w:tc>
          <w:tcPr>
            <w:tcW w:w="2207" w:type="dxa"/>
            <w:vAlign w:val="center"/>
          </w:tcPr>
          <w:p w14:paraId="4CEEFD87" w14:textId="31746AA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Nombre de patients théoriques traités par médicaments de substitution aux opioïdes (201</w:t>
            </w:r>
            <w:r w:rsidR="005F0830">
              <w:rPr>
                <w:sz w:val="18"/>
                <w:szCs w:val="18"/>
              </w:rPr>
              <w:t>9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1745" w:type="dxa"/>
            <w:vAlign w:val="center"/>
          </w:tcPr>
          <w:p w14:paraId="07810DEC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7CFFBD18" w14:textId="4F08DABE" w:rsidR="00AB7770" w:rsidRDefault="005F083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227,4</w:t>
            </w:r>
          </w:p>
        </w:tc>
        <w:tc>
          <w:tcPr>
            <w:tcW w:w="1732" w:type="dxa"/>
            <w:vAlign w:val="center"/>
          </w:tcPr>
          <w:p w14:paraId="7A0641EB" w14:textId="6A5AA9C4" w:rsidR="00AB7770" w:rsidRDefault="005F083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346,5</w:t>
            </w:r>
          </w:p>
        </w:tc>
        <w:tc>
          <w:tcPr>
            <w:tcW w:w="1704" w:type="dxa"/>
            <w:vAlign w:val="center"/>
          </w:tcPr>
          <w:p w14:paraId="5D1BCC7B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AB7770" w:rsidRPr="00DC15D8" w14:paraId="3C161721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6F9A2EF8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par surdoses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0908CE78" w14:textId="77777777" w:rsidR="00AB7770" w:rsidRPr="00DC15D8" w:rsidRDefault="00AB7770" w:rsidP="00AB7770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31E57423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0,7</w:t>
            </w:r>
          </w:p>
        </w:tc>
        <w:tc>
          <w:tcPr>
            <w:tcW w:w="1732" w:type="dxa"/>
            <w:vAlign w:val="center"/>
          </w:tcPr>
          <w:p w14:paraId="4AA53270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04" w:type="dxa"/>
            <w:vAlign w:val="center"/>
          </w:tcPr>
          <w:p w14:paraId="3E8CD6B8" w14:textId="77777777" w:rsidR="00AB7770" w:rsidRDefault="00AB7770" w:rsidP="00AB77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794202" w:rsidRPr="00DC15D8" w14:paraId="1AF6D6E2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2B588E83" w14:textId="5AD157A2" w:rsidR="00794202" w:rsidRPr="00DC15D8" w:rsidRDefault="00794202" w:rsidP="00794202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 w:rsidR="00990778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45" w:type="dxa"/>
            <w:vAlign w:val="center"/>
          </w:tcPr>
          <w:p w14:paraId="7F5FFEFE" w14:textId="35832494" w:rsidR="00794202" w:rsidRPr="00DC15D8" w:rsidRDefault="00794202" w:rsidP="00794202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1821" w:type="dxa"/>
            <w:vAlign w:val="center"/>
          </w:tcPr>
          <w:p w14:paraId="20C65A73" w14:textId="031F2400" w:rsidR="00794202" w:rsidRDefault="00794202" w:rsidP="007942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10,3</w:t>
            </w:r>
          </w:p>
        </w:tc>
        <w:tc>
          <w:tcPr>
            <w:tcW w:w="1732" w:type="dxa"/>
            <w:vAlign w:val="center"/>
          </w:tcPr>
          <w:p w14:paraId="7488B123" w14:textId="5CB4CC7F" w:rsidR="00794202" w:rsidRDefault="00794202" w:rsidP="007942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10,9</w:t>
            </w:r>
          </w:p>
        </w:tc>
        <w:tc>
          <w:tcPr>
            <w:tcW w:w="1704" w:type="dxa"/>
            <w:vAlign w:val="center"/>
          </w:tcPr>
          <w:p w14:paraId="3B0070DE" w14:textId="1F15FC55" w:rsidR="00794202" w:rsidRDefault="00794202" w:rsidP="007942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794202" w:rsidRPr="00DC15D8" w14:paraId="4B6BB5F3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11B7D3C1" w14:textId="28EF7C72" w:rsidR="00794202" w:rsidRPr="00DC15D8" w:rsidRDefault="00794202" w:rsidP="00794202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</w:t>
            </w:r>
            <w:r w:rsidR="005F083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 w:rsidR="0099077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45" w:type="dxa"/>
            <w:vAlign w:val="center"/>
          </w:tcPr>
          <w:p w14:paraId="5443580C" w14:textId="6385E6DD" w:rsidR="00794202" w:rsidRPr="00DC15D8" w:rsidRDefault="00794202" w:rsidP="00794202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1821" w:type="dxa"/>
            <w:vAlign w:val="center"/>
          </w:tcPr>
          <w:p w14:paraId="3695A265" w14:textId="537CB216" w:rsidR="00794202" w:rsidRDefault="005F0830" w:rsidP="007942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23,7</w:t>
            </w:r>
          </w:p>
        </w:tc>
        <w:tc>
          <w:tcPr>
            <w:tcW w:w="1732" w:type="dxa"/>
            <w:vAlign w:val="center"/>
          </w:tcPr>
          <w:p w14:paraId="2583D4F5" w14:textId="704D186E" w:rsidR="00794202" w:rsidRDefault="005F0830" w:rsidP="007942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38,8</w:t>
            </w:r>
          </w:p>
        </w:tc>
        <w:tc>
          <w:tcPr>
            <w:tcW w:w="1704" w:type="dxa"/>
            <w:vAlign w:val="center"/>
          </w:tcPr>
          <w:p w14:paraId="4D8D93CB" w14:textId="0F676B0B" w:rsidR="00794202" w:rsidRDefault="005F0830" w:rsidP="007942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E95B6A"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</w:tbl>
    <w:p w14:paraId="2C4BFAC0" w14:textId="77777777" w:rsidR="00031B28" w:rsidRDefault="00031B28" w:rsidP="008361EB">
      <w:pPr>
        <w:pStyle w:val="Sous-titre"/>
        <w:rPr>
          <w:rFonts w:eastAsia="Arial Unicode MS"/>
        </w:rPr>
      </w:pPr>
    </w:p>
    <w:p w14:paraId="0946DFDD" w14:textId="77777777" w:rsidR="00031B28" w:rsidRDefault="00031B28" w:rsidP="008361EB">
      <w:pPr>
        <w:pStyle w:val="Sous-titre"/>
        <w:rPr>
          <w:rFonts w:eastAsia="Arial Unicode MS"/>
        </w:rPr>
      </w:pPr>
    </w:p>
    <w:p w14:paraId="433718DC" w14:textId="77777777" w:rsidR="00031B28" w:rsidRDefault="00031B28" w:rsidP="008361EB">
      <w:pPr>
        <w:pStyle w:val="Sous-titre"/>
        <w:rPr>
          <w:rFonts w:eastAsia="Arial Unicode MS"/>
        </w:rPr>
      </w:pPr>
    </w:p>
    <w:p w14:paraId="4EC72A65" w14:textId="288E192C" w:rsidR="006446A1" w:rsidRPr="00C8318B" w:rsidRDefault="009C1862" w:rsidP="005F0830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  <w:r w:rsidR="00794202">
        <w:rPr>
          <w:rFonts w:eastAsia="Arial Unicode MS"/>
        </w:rPr>
        <w:t xml:space="preserve">, </w:t>
      </w:r>
      <w:r w:rsidR="00794202" w:rsidRPr="00C8318B">
        <w:rPr>
          <w:rFonts w:eastAsia="Arial Unicode MS"/>
        </w:rPr>
        <w:t>(</w:t>
      </w:r>
      <w:r w:rsidR="00794202">
        <w:rPr>
          <w:rFonts w:eastAsia="Arial Unicode MS"/>
        </w:rPr>
        <w:t>5</w:t>
      </w:r>
      <w:r w:rsidR="00794202" w:rsidRPr="00C8318B">
        <w:rPr>
          <w:rFonts w:eastAsia="Arial Unicode MS"/>
        </w:rPr>
        <w:t>) DGGN/DGPN/Préfecture de police de Paris, (</w:t>
      </w:r>
      <w:r w:rsidR="00C35F97">
        <w:rPr>
          <w:rFonts w:eastAsia="Arial Unicode MS"/>
        </w:rPr>
        <w:t>6</w:t>
      </w:r>
      <w:r w:rsidR="00794202" w:rsidRPr="00C8318B">
        <w:rPr>
          <w:rFonts w:eastAsia="Arial Unicode MS"/>
        </w:rPr>
        <w:t>) Etat 4001</w:t>
      </w:r>
      <w:r w:rsidRPr="00C8318B">
        <w:rPr>
          <w:rFonts w:eastAsia="Arial Unicode MS"/>
        </w:rPr>
        <w:t xml:space="preserve"> </w:t>
      </w:r>
    </w:p>
    <w:p w14:paraId="7D0FAE89" w14:textId="77777777" w:rsidR="00794202" w:rsidRPr="00C8318B" w:rsidRDefault="00794202">
      <w:pPr>
        <w:pStyle w:val="Sous-titre"/>
        <w:rPr>
          <w:rFonts w:eastAsia="Arial Unicode MS"/>
        </w:rPr>
      </w:pPr>
    </w:p>
    <w:sectPr w:rsidR="00794202" w:rsidRPr="00C8318B" w:rsidSect="000141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9D3C0" w14:textId="77777777" w:rsidR="0012151D" w:rsidRDefault="0012151D" w:rsidP="009C1862">
      <w:pPr>
        <w:spacing w:after="0" w:line="240" w:lineRule="auto"/>
      </w:pPr>
      <w:r>
        <w:separator/>
      </w:r>
    </w:p>
  </w:endnote>
  <w:endnote w:type="continuationSeparator" w:id="0">
    <w:p w14:paraId="6645B707" w14:textId="77777777" w:rsidR="0012151D" w:rsidRDefault="0012151D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F0241" w14:textId="77777777" w:rsidR="00D47488" w:rsidRDefault="00D474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1144" w14:textId="002AB22A" w:rsidR="00042106" w:rsidRPr="00AE3AC0" w:rsidRDefault="00014197" w:rsidP="00D47488">
    <w:pPr>
      <w:pStyle w:val="Pieddepage"/>
      <w:rPr>
        <w:b/>
        <w:color w:val="767171"/>
        <w:sz w:val="20"/>
        <w:szCs w:val="20"/>
      </w:rPr>
    </w:pPr>
    <w:bookmarkStart w:id="0" w:name="_GoBack"/>
    <w:bookmarkEnd w:id="0"/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3BDFF0A2" wp14:editId="0E4CCF13">
          <wp:extent cx="228600" cy="228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6" cy="22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</w:t>
    </w:r>
    <w:r w:rsidR="00D47488" w:rsidRPr="00D47488">
      <w:rPr>
        <w:b/>
        <w:color w:val="767171"/>
        <w:sz w:val="20"/>
        <w:szCs w:val="20"/>
      </w:rPr>
      <w:t>Mise à jour : décembre 2021</w:t>
    </w:r>
  </w:p>
  <w:p w14:paraId="56FF4EC5" w14:textId="77777777" w:rsidR="00AB1FE2" w:rsidRDefault="00AB1F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ADDDA" w14:textId="77777777" w:rsidR="00D47488" w:rsidRDefault="00D474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D0BCF" w14:textId="77777777" w:rsidR="0012151D" w:rsidRDefault="0012151D" w:rsidP="009C1862">
      <w:pPr>
        <w:spacing w:after="0" w:line="240" w:lineRule="auto"/>
      </w:pPr>
      <w:r>
        <w:separator/>
      </w:r>
    </w:p>
  </w:footnote>
  <w:footnote w:type="continuationSeparator" w:id="0">
    <w:p w14:paraId="39C18019" w14:textId="77777777" w:rsidR="0012151D" w:rsidRDefault="0012151D" w:rsidP="009C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F5286" w14:textId="77777777" w:rsidR="00D47488" w:rsidRDefault="00D474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61567" w14:textId="77777777" w:rsidR="00D47488" w:rsidRDefault="00D474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4AE42" w14:textId="77777777" w:rsidR="00D47488" w:rsidRDefault="00D474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6"/>
    <w:rsid w:val="00014197"/>
    <w:rsid w:val="00031B28"/>
    <w:rsid w:val="000419F7"/>
    <w:rsid w:val="00042106"/>
    <w:rsid w:val="00081188"/>
    <w:rsid w:val="000A0BEB"/>
    <w:rsid w:val="000F12BC"/>
    <w:rsid w:val="000F59CE"/>
    <w:rsid w:val="000F609D"/>
    <w:rsid w:val="0010340A"/>
    <w:rsid w:val="001175CB"/>
    <w:rsid w:val="0012151D"/>
    <w:rsid w:val="00134A9B"/>
    <w:rsid w:val="0014685F"/>
    <w:rsid w:val="00194A55"/>
    <w:rsid w:val="001A385F"/>
    <w:rsid w:val="001E2849"/>
    <w:rsid w:val="001F7C76"/>
    <w:rsid w:val="00212A7B"/>
    <w:rsid w:val="00297D29"/>
    <w:rsid w:val="00334B7A"/>
    <w:rsid w:val="00340BB1"/>
    <w:rsid w:val="00346D5C"/>
    <w:rsid w:val="00357DAB"/>
    <w:rsid w:val="0038195A"/>
    <w:rsid w:val="00385030"/>
    <w:rsid w:val="00395489"/>
    <w:rsid w:val="003F5F13"/>
    <w:rsid w:val="00444F5B"/>
    <w:rsid w:val="00450AA9"/>
    <w:rsid w:val="004F2570"/>
    <w:rsid w:val="00533B1C"/>
    <w:rsid w:val="00533C07"/>
    <w:rsid w:val="00557DB0"/>
    <w:rsid w:val="005644F6"/>
    <w:rsid w:val="0056792A"/>
    <w:rsid w:val="005C7D85"/>
    <w:rsid w:val="005E3085"/>
    <w:rsid w:val="005F0830"/>
    <w:rsid w:val="00605E0B"/>
    <w:rsid w:val="00643EF2"/>
    <w:rsid w:val="006446A1"/>
    <w:rsid w:val="00672F96"/>
    <w:rsid w:val="006E4378"/>
    <w:rsid w:val="00794202"/>
    <w:rsid w:val="007E1176"/>
    <w:rsid w:val="007F1849"/>
    <w:rsid w:val="00815D95"/>
    <w:rsid w:val="008361EB"/>
    <w:rsid w:val="00867DB9"/>
    <w:rsid w:val="0089402F"/>
    <w:rsid w:val="008948E0"/>
    <w:rsid w:val="00897AD5"/>
    <w:rsid w:val="00904192"/>
    <w:rsid w:val="00923168"/>
    <w:rsid w:val="00990778"/>
    <w:rsid w:val="00995629"/>
    <w:rsid w:val="009A1B37"/>
    <w:rsid w:val="009C1862"/>
    <w:rsid w:val="009E5BA6"/>
    <w:rsid w:val="00A321A9"/>
    <w:rsid w:val="00A53360"/>
    <w:rsid w:val="00A64905"/>
    <w:rsid w:val="00A724E9"/>
    <w:rsid w:val="00A75BB0"/>
    <w:rsid w:val="00AA2A77"/>
    <w:rsid w:val="00AB1FE2"/>
    <w:rsid w:val="00AB57B2"/>
    <w:rsid w:val="00AB7770"/>
    <w:rsid w:val="00AC1C2B"/>
    <w:rsid w:val="00AE3AC0"/>
    <w:rsid w:val="00AE4C44"/>
    <w:rsid w:val="00B15545"/>
    <w:rsid w:val="00B46DB4"/>
    <w:rsid w:val="00B66DE2"/>
    <w:rsid w:val="00BA4D7D"/>
    <w:rsid w:val="00BC44DE"/>
    <w:rsid w:val="00BF64A3"/>
    <w:rsid w:val="00C048FD"/>
    <w:rsid w:val="00C04C2D"/>
    <w:rsid w:val="00C1652D"/>
    <w:rsid w:val="00C35F97"/>
    <w:rsid w:val="00C41E43"/>
    <w:rsid w:val="00C77613"/>
    <w:rsid w:val="00C8318B"/>
    <w:rsid w:val="00CB02F4"/>
    <w:rsid w:val="00CB5416"/>
    <w:rsid w:val="00D278BE"/>
    <w:rsid w:val="00D34329"/>
    <w:rsid w:val="00D34C73"/>
    <w:rsid w:val="00D47488"/>
    <w:rsid w:val="00DC15D8"/>
    <w:rsid w:val="00E05C81"/>
    <w:rsid w:val="00E51BFD"/>
    <w:rsid w:val="00E95B6A"/>
    <w:rsid w:val="00EC2B3A"/>
    <w:rsid w:val="00F21E1B"/>
    <w:rsid w:val="00F4642A"/>
    <w:rsid w:val="00F616B9"/>
    <w:rsid w:val="00F6482C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82C5B7E"/>
  <w15:chartTrackingRefBased/>
  <w15:docId w15:val="{DDE4C757-54ED-43F3-8C3E-AD55B681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4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Stanislas Spilka</cp:lastModifiedBy>
  <cp:revision>71</cp:revision>
  <cp:lastPrinted>2019-12-10T15:48:00Z</cp:lastPrinted>
  <dcterms:created xsi:type="dcterms:W3CDTF">2019-07-25T12:02:00Z</dcterms:created>
  <dcterms:modified xsi:type="dcterms:W3CDTF">2021-12-19T17:23:00Z</dcterms:modified>
</cp:coreProperties>
</file>